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57" w:rsidRDefault="00A42157">
      <w:pPr>
        <w:rPr>
          <w:color w:val="FF0000"/>
        </w:rPr>
      </w:pPr>
      <w:r>
        <w:rPr>
          <w:noProof/>
          <w:color w:val="FF0000"/>
          <w:lang w:eastAsia="ru-RU"/>
        </w:rPr>
        <w:drawing>
          <wp:inline distT="0" distB="0" distL="0" distR="0">
            <wp:extent cx="5940425" cy="8311899"/>
            <wp:effectExtent l="0" t="0" r="3175" b="0"/>
            <wp:docPr id="1" name="Рисунок 1" descr="C:\Users\Filippova_mg\Desktop\Картотека\титульный - копия - копия.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Картотека\титульный - копия - копия.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11899"/>
                    </a:xfrm>
                    <a:prstGeom prst="rect">
                      <a:avLst/>
                    </a:prstGeom>
                    <a:noFill/>
                    <a:ln>
                      <a:noFill/>
                    </a:ln>
                  </pic:spPr>
                </pic:pic>
              </a:graphicData>
            </a:graphic>
          </wp:inline>
        </w:drawing>
      </w:r>
    </w:p>
    <w:p w:rsidR="000F5CAB" w:rsidRPr="00FB63A2" w:rsidRDefault="000F5CAB">
      <w:pPr>
        <w:rPr>
          <w:color w:val="FF0000"/>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103BDB" w:rsidRPr="00862265" w:rsidTr="00C5397F">
        <w:trPr>
          <w:trHeight w:val="612"/>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Наименование: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roofErr w:type="gramEnd"/>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00EE26AD">
              <w:rPr>
                <w:rFonts w:ascii="PT Astra Serif" w:eastAsia="Times New Roman" w:hAnsi="PT Astra Serif" w:cs="Times New Roman"/>
                <w:sz w:val="24"/>
                <w:szCs w:val="24"/>
              </w:rPr>
              <w:t xml:space="preserve"> 8 (34675) 7-70-00</w:t>
            </w:r>
            <w:r w:rsidR="007C020E">
              <w:rPr>
                <w:rFonts w:ascii="PT Astra Serif" w:eastAsia="Times New Roman" w:hAnsi="PT Astra Serif" w:cs="Times New Roman"/>
                <w:sz w:val="24"/>
                <w:szCs w:val="24"/>
              </w:rPr>
              <w:t xml:space="preserve"> доб. 228</w:t>
            </w:r>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007C020E">
              <w:rPr>
                <w:rFonts w:ascii="PT Astra Serif" w:eastAsia="Times New Roman" w:hAnsi="PT Astra Serif" w:cs="Times New Roman"/>
                <w:sz w:val="24"/>
                <w:szCs w:val="24"/>
              </w:rPr>
              <w:t xml:space="preserve"> Г</w:t>
            </w:r>
            <w:r w:rsidRPr="00862265">
              <w:rPr>
                <w:rFonts w:ascii="PT Astra Serif" w:eastAsia="Times New Roman" w:hAnsi="PT Astra Serif" w:cs="Times New Roman"/>
                <w:sz w:val="24"/>
                <w:szCs w:val="24"/>
              </w:rPr>
              <w:t>лавный эксперт Никулина Оксана Александровна.</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Югорска.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Югорск,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г. Югорск, ул. 40 лет Победы, 11.</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00EE26AD">
              <w:rPr>
                <w:rFonts w:ascii="PT Astra Serif" w:eastAsia="Times New Roman" w:hAnsi="PT Astra Serif" w:cs="Times New Roman"/>
                <w:sz w:val="24"/>
                <w:szCs w:val="24"/>
              </w:rPr>
              <w:t xml:space="preserve"> (34675) 77112 факс (34675) 77112</w:t>
            </w:r>
            <w:r w:rsidR="00D050D0">
              <w:rPr>
                <w:rFonts w:ascii="PT Astra Serif" w:eastAsia="Times New Roman" w:hAnsi="PT Astra Serif" w:cs="Times New Roman"/>
                <w:sz w:val="24"/>
                <w:szCs w:val="24"/>
              </w:rPr>
              <w:t xml:space="preserve"> доб.</w:t>
            </w:r>
            <w:r w:rsidR="007C020E">
              <w:rPr>
                <w:rFonts w:ascii="PT Astra Serif" w:eastAsia="Times New Roman" w:hAnsi="PT Astra Serif" w:cs="Times New Roman"/>
                <w:sz w:val="24"/>
                <w:szCs w:val="24"/>
              </w:rPr>
              <w:t xml:space="preserve"> 218</w:t>
            </w:r>
            <w:r w:rsidRPr="00862265">
              <w:rPr>
                <w:rFonts w:ascii="PT Astra Serif" w:eastAsia="Times New Roman" w:hAnsi="PT Astra Serif" w:cs="Times New Roman"/>
                <w:sz w:val="24"/>
                <w:szCs w:val="24"/>
              </w:rPr>
              <w:t xml:space="preserve">.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00EE26AD">
              <w:rPr>
                <w:rFonts w:ascii="PT Astra Serif" w:eastAsia="Times New Roman" w:hAnsi="PT Astra Serif" w:cs="Times New Roman"/>
                <w:sz w:val="24"/>
                <w:szCs w:val="24"/>
              </w:rPr>
              <w:t xml:space="preserve">: </w:t>
            </w:r>
            <w:r w:rsidR="00D050D0">
              <w:rPr>
                <w:rFonts w:ascii="PT Astra Serif" w:eastAsia="Times New Roman" w:hAnsi="PT Astra Serif" w:cs="Times New Roman"/>
                <w:sz w:val="24"/>
                <w:szCs w:val="24"/>
              </w:rPr>
              <w:t xml:space="preserve">Главный специалист </w:t>
            </w:r>
            <w:r w:rsidR="007C020E">
              <w:rPr>
                <w:rFonts w:ascii="PT Astra Serif" w:eastAsia="Times New Roman" w:hAnsi="PT Astra Serif" w:cs="Times New Roman"/>
                <w:sz w:val="24"/>
                <w:szCs w:val="24"/>
              </w:rPr>
              <w:t xml:space="preserve"> </w:t>
            </w:r>
            <w:proofErr w:type="spellStart"/>
            <w:r w:rsidR="007C020E">
              <w:rPr>
                <w:rFonts w:ascii="PT Astra Serif" w:eastAsia="Times New Roman" w:hAnsi="PT Astra Serif" w:cs="Times New Roman"/>
                <w:sz w:val="24"/>
                <w:szCs w:val="24"/>
              </w:rPr>
              <w:t>Боярищева</w:t>
            </w:r>
            <w:proofErr w:type="spellEnd"/>
            <w:r w:rsidR="007C020E">
              <w:rPr>
                <w:rFonts w:ascii="PT Astra Serif" w:eastAsia="Times New Roman" w:hAnsi="PT Astra Serif" w:cs="Times New Roman"/>
                <w:sz w:val="24"/>
                <w:szCs w:val="24"/>
              </w:rPr>
              <w:t xml:space="preserve"> Татьяна Федоровна</w:t>
            </w:r>
            <w:r w:rsidRPr="00862265">
              <w:rPr>
                <w:rFonts w:ascii="PT Astra Serif" w:eastAsia="Times New Roman" w:hAnsi="PT Astra Serif" w:cs="Times New Roman"/>
                <w:sz w:val="24"/>
                <w:szCs w:val="24"/>
              </w:rPr>
              <w:t>.</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BA0992" w:rsidP="00C5397F">
            <w:pPr>
              <w:spacing w:before="100" w:beforeAutospacing="1" w:after="100" w:afterAutospacing="1" w:line="240" w:lineRule="auto"/>
              <w:jc w:val="both"/>
              <w:rPr>
                <w:rFonts w:ascii="PT Astra Serif" w:eastAsia="Times New Roman" w:hAnsi="PT Astra Serif" w:cs="Times New Roman"/>
                <w:sz w:val="24"/>
                <w:szCs w:val="24"/>
              </w:rPr>
            </w:pPr>
            <w:r w:rsidRPr="00BA0992">
              <w:rPr>
                <w:rFonts w:ascii="PT Astra Serif" w:eastAsia="Times New Roman" w:hAnsi="PT Astra Serif" w:cs="Times New Roman"/>
                <w:sz w:val="24"/>
                <w:szCs w:val="24"/>
              </w:rPr>
              <w:t>26 38622002368862201001 0132 001 3101 244</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103BDB" w:rsidRPr="00862265" w:rsidTr="007C020E">
        <w:trPr>
          <w:trHeight w:val="1032"/>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7C020E" w:rsidRDefault="00103BDB" w:rsidP="007C020E">
            <w:pP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 xml:space="preserve">на право заключения муниципального контракта на поставку </w:t>
            </w:r>
            <w:r w:rsidR="007C020E" w:rsidRPr="007C020E">
              <w:rPr>
                <w:rFonts w:ascii="PT Astra Serif" w:eastAsia="Times New Roman" w:hAnsi="PT Astra Serif" w:cs="Times New Roman"/>
                <w:bCs/>
                <w:color w:val="000000"/>
                <w:sz w:val="24"/>
                <w:szCs w:val="24"/>
              </w:rPr>
              <w:t>шка</w:t>
            </w:r>
            <w:r w:rsidR="007C020E">
              <w:rPr>
                <w:rFonts w:ascii="PT Astra Serif" w:eastAsia="Times New Roman" w:hAnsi="PT Astra Serif" w:cs="Times New Roman"/>
                <w:bCs/>
                <w:color w:val="000000"/>
                <w:sz w:val="24"/>
                <w:szCs w:val="24"/>
              </w:rPr>
              <w:t>фов картотечных, металлических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w:t>
            </w:r>
            <w:r w:rsidR="00D47E46">
              <w:rPr>
                <w:rFonts w:ascii="PT Astra Serif" w:eastAsia="Times New Roman" w:hAnsi="PT Astra Serif" w:cs="Times New Roman"/>
                <w:sz w:val="24"/>
                <w:szCs w:val="24"/>
              </w:rPr>
              <w:t xml:space="preserve"> (Техническое зада</w:t>
            </w:r>
            <w:r w:rsidRPr="00862265">
              <w:rPr>
                <w:rFonts w:ascii="PT Astra Serif" w:eastAsia="Times New Roman" w:hAnsi="PT Astra Serif" w:cs="Times New Roman"/>
                <w:sz w:val="24"/>
                <w:szCs w:val="24"/>
              </w:rPr>
              <w:t>ние)»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w:t>
            </w:r>
            <w:r w:rsidR="007C020E">
              <w:rPr>
                <w:rFonts w:ascii="PT Astra Serif" w:eastAsia="Times New Roman" w:hAnsi="PT Astra Serif" w:cs="Times New Roman"/>
                <w:sz w:val="24"/>
                <w:szCs w:val="24"/>
              </w:rPr>
              <w:t>ы заключения</w:t>
            </w:r>
            <w:proofErr w:type="gramEnd"/>
            <w:r w:rsidR="007C020E">
              <w:rPr>
                <w:rFonts w:ascii="PT Astra Serif" w:eastAsia="Times New Roman" w:hAnsi="PT Astra Serif" w:cs="Times New Roman"/>
                <w:sz w:val="24"/>
                <w:szCs w:val="24"/>
              </w:rPr>
              <w:t xml:space="preserve"> контракта по  30</w:t>
            </w:r>
            <w:r w:rsidR="00EE26AD">
              <w:rPr>
                <w:rFonts w:ascii="PT Astra Serif" w:eastAsia="Times New Roman" w:hAnsi="PT Astra Serif" w:cs="Times New Roman"/>
                <w:sz w:val="24"/>
                <w:szCs w:val="24"/>
              </w:rPr>
              <w:t>.0</w:t>
            </w:r>
            <w:r w:rsidR="007C020E">
              <w:rPr>
                <w:rFonts w:ascii="PT Astra Serif" w:eastAsia="Times New Roman" w:hAnsi="PT Astra Serif" w:cs="Times New Roman"/>
                <w:sz w:val="24"/>
                <w:szCs w:val="24"/>
              </w:rPr>
              <w:t>9</w:t>
            </w:r>
            <w:r w:rsidR="00B240F2">
              <w:rPr>
                <w:rFonts w:ascii="PT Astra Serif" w:eastAsia="Times New Roman" w:hAnsi="PT Astra Serif" w:cs="Times New Roman"/>
                <w:sz w:val="24"/>
                <w:szCs w:val="24"/>
              </w:rPr>
              <w:t>.2026</w:t>
            </w:r>
            <w:r w:rsidRPr="00862265">
              <w:rPr>
                <w:rFonts w:ascii="PT Astra Serif" w:eastAsia="Times New Roman" w:hAnsi="PT Astra Serif" w:cs="Times New Roman"/>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103BDB" w:rsidRPr="00784959" w:rsidRDefault="00103BDB" w:rsidP="00C5397F">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Окончание исп</w:t>
            </w:r>
            <w:r w:rsidR="004E6846">
              <w:rPr>
                <w:rFonts w:ascii="PT Astra Serif" w:eastAsia="Times New Roman" w:hAnsi="PT Astra Serif" w:cs="Times New Roman"/>
                <w:color w:val="000000" w:themeColor="text1"/>
                <w:sz w:val="24"/>
                <w:szCs w:val="24"/>
              </w:rPr>
              <w:t>олнения контракта –19</w:t>
            </w:r>
            <w:r w:rsidR="007C020E">
              <w:rPr>
                <w:rFonts w:ascii="PT Astra Serif" w:eastAsia="Times New Roman" w:hAnsi="PT Astra Serif" w:cs="Times New Roman"/>
                <w:color w:val="000000" w:themeColor="text1"/>
                <w:sz w:val="24"/>
                <w:szCs w:val="24"/>
              </w:rPr>
              <w:t>.11</w:t>
            </w:r>
            <w:r w:rsidR="00B240F2">
              <w:rPr>
                <w:rFonts w:ascii="PT Astra Serif" w:eastAsia="Times New Roman" w:hAnsi="PT Astra Serif" w:cs="Times New Roman"/>
                <w:color w:val="000000" w:themeColor="text1"/>
                <w:sz w:val="24"/>
                <w:szCs w:val="24"/>
              </w:rPr>
              <w:t>.2026</w:t>
            </w:r>
            <w:r w:rsidRPr="00784959">
              <w:rPr>
                <w:rFonts w:ascii="PT Astra Serif" w:eastAsia="Times New Roman" w:hAnsi="PT Astra Serif" w:cs="Times New Roman"/>
                <w:color w:val="000000" w:themeColor="text1"/>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tc>
      </w:tr>
      <w:tr w:rsidR="00103BDB" w:rsidRPr="00862265" w:rsidTr="00C5397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7C020E" w:rsidP="007C020E">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71 000</w:t>
            </w:r>
            <w:r w:rsidR="00103BDB" w:rsidRPr="00862265">
              <w:rPr>
                <w:rFonts w:ascii="PT Astra Serif" w:eastAsia="Times New Roman" w:hAnsi="PT Astra Serif" w:cs="Times New Roman"/>
                <w:b/>
                <w:snapToGrid w:val="0"/>
                <w:sz w:val="24"/>
                <w:szCs w:val="24"/>
              </w:rPr>
              <w:t xml:space="preserve"> </w:t>
            </w:r>
            <w:r w:rsidR="00B240F2">
              <w:rPr>
                <w:rFonts w:ascii="PT Astra Serif" w:eastAsia="Times New Roman" w:hAnsi="PT Astra Serif" w:cs="Times New Roman"/>
                <w:b/>
                <w:snapToGrid w:val="0"/>
                <w:sz w:val="24"/>
                <w:szCs w:val="24"/>
              </w:rPr>
              <w:t>(</w:t>
            </w:r>
            <w:r>
              <w:rPr>
                <w:rFonts w:ascii="PT Astra Serif" w:eastAsia="Times New Roman" w:hAnsi="PT Astra Serif" w:cs="Times New Roman"/>
                <w:b/>
                <w:snapToGrid w:val="0"/>
                <w:sz w:val="24"/>
                <w:szCs w:val="24"/>
              </w:rPr>
              <w:t>семьдесят одна тысяча) рублей</w:t>
            </w:r>
            <w:r w:rsidR="00B240F2">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00</w:t>
            </w:r>
            <w:r w:rsidR="00103BDB">
              <w:rPr>
                <w:rFonts w:ascii="PT Astra Serif" w:eastAsia="Times New Roman" w:hAnsi="PT Astra Serif" w:cs="Times New Roman"/>
                <w:b/>
                <w:snapToGrid w:val="0"/>
                <w:sz w:val="24"/>
                <w:szCs w:val="24"/>
              </w:rPr>
              <w:t xml:space="preserve"> копеек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B240F2"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Бюджет города Югорска на 2026</w:t>
            </w:r>
            <w:r w:rsidR="00103BDB" w:rsidRPr="00862265">
              <w:rPr>
                <w:rFonts w:ascii="PT Astra Serif" w:eastAsia="Times New Roman" w:hAnsi="PT Astra Serif" w:cs="Times New Roman"/>
                <w:color w:val="000000"/>
                <w:sz w:val="24"/>
                <w:szCs w:val="24"/>
              </w:rPr>
              <w:t xml:space="preserve"> год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обязанности </w:t>
            </w:r>
            <w:proofErr w:type="gramStart"/>
            <w:r w:rsidRPr="00862265">
              <w:rPr>
                <w:rFonts w:ascii="PT Astra Serif" w:eastAsia="Times New Roman" w:hAnsi="PT Astra Serif" w:cs="Times New Roman"/>
                <w:color w:val="000000"/>
                <w:sz w:val="24"/>
                <w:szCs w:val="24"/>
              </w:rPr>
              <w:t>заявителя</w:t>
            </w:r>
            <w:proofErr w:type="gramEnd"/>
            <w:r w:rsidRPr="00862265">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r w:rsidRPr="00862265">
              <w:rPr>
                <w:rFonts w:ascii="PT Astra Serif" w:eastAsia="Times New Roman" w:hAnsi="PT Astra Serif" w:cs="Times New Roman"/>
                <w:color w:val="000000"/>
                <w:sz w:val="24"/>
                <w:szCs w:val="24"/>
              </w:rPr>
              <w:lastRenderedPageBreak/>
              <w:t xml:space="preserve">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 руководителем, единоличным исполнительным органом, </w:t>
            </w:r>
            <w:r w:rsidRPr="00862265">
              <w:rPr>
                <w:rFonts w:ascii="PT Astra Serif" w:eastAsia="Times New Roman" w:hAnsi="PT Astra Serif" w:cs="Times New Roman"/>
                <w:color w:val="000000"/>
                <w:sz w:val="24"/>
                <w:szCs w:val="24"/>
              </w:rPr>
              <w:lastRenderedPageBreak/>
              <w:t>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 xml:space="preserve">о контрактной системе </w:t>
            </w:r>
            <w:r w:rsidRPr="00862265">
              <w:rPr>
                <w:rFonts w:ascii="PT Astra Serif" w:eastAsia="Times New Roman" w:hAnsi="PT Astra Serif" w:cs="Times New Roman"/>
                <w:color w:val="000000"/>
                <w:sz w:val="24"/>
                <w:szCs w:val="24"/>
              </w:rPr>
              <w:lastRenderedPageBreak/>
              <w:t>(при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w:t>
            </w:r>
            <w:r w:rsidRPr="00862265">
              <w:rPr>
                <w:rFonts w:ascii="PT Astra Serif" w:eastAsia="Times New Roman" w:hAnsi="PT Astra Serif" w:cs="Times New Roman"/>
                <w:color w:val="000000"/>
                <w:sz w:val="24"/>
                <w:szCs w:val="24"/>
              </w:rPr>
              <w:lastRenderedPageBreak/>
              <w:t>Российской Федерации не установлено иное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B240F2"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103BDB" w:rsidRPr="009835CD"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9835CD" w:rsidRDefault="00103BDB" w:rsidP="00C5397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9835CD" w:rsidRDefault="00103BDB" w:rsidP="00C5397F">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w:t>
            </w:r>
            <w:r w:rsidRPr="009835CD">
              <w:rPr>
                <w:rFonts w:ascii="PT Astra Serif" w:eastAsia="Times New Roman" w:hAnsi="PT Astra Serif" w:cs="Times New Roman"/>
                <w:color w:val="000000"/>
              </w:rPr>
              <w:lastRenderedPageBreak/>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9835CD" w:rsidRDefault="00103BDB" w:rsidP="00C5397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009835CD" w:rsidRPr="009835CD">
              <w:rPr>
                <w:rFonts w:ascii="PT Astra Serif" w:eastAsia="Times New Roman" w:hAnsi="PT Astra Serif" w:cs="Times New Roman"/>
                <w:i/>
                <w:u w:val="single"/>
              </w:rPr>
              <w:t>У</w:t>
            </w:r>
            <w:r w:rsidRPr="009835CD">
              <w:rPr>
                <w:rFonts w:ascii="PT Astra Serif" w:eastAsia="Times New Roman" w:hAnsi="PT Astra Serif" w:cs="Times New Roman"/>
                <w:i/>
                <w:u w:val="single"/>
              </w:rPr>
              <w:t>становлено</w:t>
            </w:r>
            <w:r w:rsidR="009835CD" w:rsidRPr="009835CD">
              <w:rPr>
                <w:rFonts w:ascii="PT Astra Serif" w:eastAsia="Times New Roman" w:hAnsi="PT Astra Serif" w:cs="Times New Roman"/>
                <w:i/>
                <w:u w:val="single"/>
              </w:rPr>
              <w:t>.</w:t>
            </w:r>
          </w:p>
          <w:p w:rsidR="009835CD" w:rsidRPr="009835CD" w:rsidRDefault="009835CD" w:rsidP="009835CD">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835CD" w:rsidRPr="009835CD" w:rsidRDefault="009835CD" w:rsidP="00C5397F">
            <w:pPr>
              <w:spacing w:after="0" w:line="240" w:lineRule="auto"/>
              <w:jc w:val="both"/>
              <w:rPr>
                <w:rFonts w:ascii="PT Astra Serif" w:eastAsia="Times New Roman" w:hAnsi="PT Astra Serif" w:cs="Times New Roman"/>
                <w:i/>
                <w:u w:val="single"/>
              </w:rPr>
            </w:pPr>
          </w:p>
          <w:p w:rsidR="00103BDB" w:rsidRPr="009835CD" w:rsidRDefault="00103BDB" w:rsidP="00C5397F">
            <w:pPr>
              <w:spacing w:after="0" w:line="240" w:lineRule="auto"/>
              <w:jc w:val="both"/>
              <w:rPr>
                <w:rFonts w:ascii="PT Astra Serif" w:eastAsia="Times New Roman" w:hAnsi="PT Astra Serif" w:cs="Times New Roman"/>
                <w:b/>
              </w:rPr>
            </w:pPr>
          </w:p>
          <w:p w:rsidR="00103BDB" w:rsidRPr="009835CD" w:rsidRDefault="00103BDB" w:rsidP="00C5397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sidR="007C020E">
              <w:rPr>
                <w:rFonts w:ascii="PT Astra Serif" w:eastAsia="Times New Roman" w:hAnsi="PT Astra Serif" w:cs="Times New Roman"/>
                <w:sz w:val="24"/>
                <w:szCs w:val="24"/>
              </w:rPr>
              <w:t>ны контракта, что составляет 710</w:t>
            </w:r>
            <w:r w:rsidRPr="00862265">
              <w:rPr>
                <w:rFonts w:ascii="PT Astra Serif" w:eastAsia="Times New Roman" w:hAnsi="PT Astra Serif" w:cs="Times New Roman"/>
                <w:sz w:val="24"/>
                <w:szCs w:val="24"/>
              </w:rPr>
              <w:t xml:space="preserve"> </w:t>
            </w:r>
            <w:r w:rsidR="007C020E">
              <w:rPr>
                <w:rFonts w:ascii="PT Astra Serif" w:eastAsia="Times New Roman" w:hAnsi="PT Astra Serif" w:cs="Times New Roman"/>
                <w:i/>
                <w:sz w:val="24"/>
                <w:szCs w:val="24"/>
                <w:u w:val="single"/>
              </w:rPr>
              <w:t>(семьсот десять</w:t>
            </w:r>
            <w:r w:rsidRPr="00862265">
              <w:rPr>
                <w:rFonts w:ascii="PT Astra Serif" w:eastAsia="Times New Roman" w:hAnsi="PT Astra Serif" w:cs="Times New Roman"/>
                <w:i/>
                <w:sz w:val="24"/>
                <w:szCs w:val="24"/>
                <w:u w:val="single"/>
              </w:rPr>
              <w:t>) рублей</w:t>
            </w:r>
            <w:r w:rsidR="007C020E">
              <w:rPr>
                <w:rFonts w:ascii="PT Astra Serif" w:eastAsia="Times New Roman" w:hAnsi="PT Astra Serif" w:cs="Times New Roman"/>
                <w:i/>
                <w:sz w:val="24"/>
                <w:szCs w:val="24"/>
                <w:u w:val="single"/>
              </w:rPr>
              <w:t xml:space="preserve"> 00 копее</w:t>
            </w:r>
            <w:r w:rsidRPr="00862265">
              <w:rPr>
                <w:rFonts w:ascii="PT Astra Serif" w:eastAsia="Times New Roman" w:hAnsi="PT Astra Serif" w:cs="Times New Roman"/>
                <w:i/>
                <w:sz w:val="24"/>
                <w:szCs w:val="24"/>
                <w:u w:val="single"/>
              </w:rPr>
              <w:t>к</w:t>
            </w:r>
            <w:r w:rsidRPr="00862265">
              <w:rPr>
                <w:rFonts w:ascii="PT Astra Serif" w:eastAsia="Times New Roman" w:hAnsi="PT Astra Serif" w:cs="Times New Roman"/>
                <w:sz w:val="24"/>
                <w:szCs w:val="24"/>
              </w:rPr>
              <w:t>.</w:t>
            </w:r>
          </w:p>
          <w:p w:rsidR="00103BDB" w:rsidRPr="00784959"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w:t>
            </w:r>
            <w:r w:rsidRPr="00862265">
              <w:rPr>
                <w:rFonts w:ascii="PT Astra Serif" w:eastAsia="Times New Roman" w:hAnsi="PT Astra Serif" w:cs="Times New Roman"/>
                <w:color w:val="000000"/>
                <w:sz w:val="24"/>
                <w:szCs w:val="24"/>
              </w:rPr>
              <w:lastRenderedPageBreak/>
              <w:t xml:space="preserve">начальной (максимальной) цены контракта.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sidR="00FB63A2">
              <w:rPr>
                <w:rFonts w:ascii="PT Astra Serif" w:eastAsia="Times New Roman" w:hAnsi="PT Astra Serif" w:cs="Times New Roman"/>
                <w:i/>
                <w:color w:val="000000"/>
                <w:sz w:val="24"/>
                <w:szCs w:val="24"/>
              </w:rPr>
              <w:t xml:space="preserve"> контракта, что составляет 3 55</w:t>
            </w:r>
            <w:r w:rsidR="007C020E">
              <w:rPr>
                <w:rFonts w:ascii="PT Astra Serif" w:eastAsia="Times New Roman" w:hAnsi="PT Astra Serif" w:cs="Times New Roman"/>
                <w:i/>
                <w:color w:val="000000"/>
                <w:sz w:val="24"/>
                <w:szCs w:val="24"/>
              </w:rPr>
              <w:t>0 (три тысячи пятьсот</w:t>
            </w:r>
            <w:r w:rsidR="00FB63A2">
              <w:rPr>
                <w:rFonts w:ascii="PT Astra Serif" w:eastAsia="Times New Roman" w:hAnsi="PT Astra Serif" w:cs="Times New Roman"/>
                <w:i/>
                <w:color w:val="000000"/>
                <w:sz w:val="24"/>
                <w:szCs w:val="24"/>
              </w:rPr>
              <w:t xml:space="preserve"> пятьдесят</w:t>
            </w:r>
            <w:r w:rsidRPr="00862265">
              <w:rPr>
                <w:rFonts w:ascii="PT Astra Serif" w:eastAsia="Times New Roman" w:hAnsi="PT Astra Serif" w:cs="Times New Roman"/>
                <w:i/>
                <w:color w:val="000000"/>
                <w:sz w:val="24"/>
                <w:szCs w:val="24"/>
              </w:rPr>
              <w:t xml:space="preserve">) </w:t>
            </w:r>
            <w:r w:rsidR="007C020E">
              <w:rPr>
                <w:rFonts w:ascii="PT Astra Serif" w:eastAsia="Times New Roman" w:hAnsi="PT Astra Serif" w:cs="Times New Roman"/>
                <w:i/>
                <w:color w:val="000000"/>
                <w:sz w:val="24"/>
                <w:szCs w:val="24"/>
              </w:rPr>
              <w:t>рублей 00 копее</w:t>
            </w:r>
            <w:r w:rsidRPr="00862265">
              <w:rPr>
                <w:rFonts w:ascii="PT Astra Serif" w:eastAsia="Times New Roman" w:hAnsi="PT Astra Serif" w:cs="Times New Roman"/>
                <w:i/>
                <w:color w:val="000000"/>
                <w:sz w:val="24"/>
                <w:szCs w:val="24"/>
              </w:rPr>
              <w:t>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862265">
              <w:rPr>
                <w:rFonts w:ascii="PT Astra Serif" w:eastAsia="Times New Roman" w:hAnsi="PT Astra Serif" w:cs="Times New Roman"/>
                <w:color w:val="000000"/>
                <w:sz w:val="24"/>
                <w:szCs w:val="24"/>
              </w:rPr>
              <w:lastRenderedPageBreak/>
              <w:t>указанном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03BDB" w:rsidRPr="00862265" w:rsidRDefault="00103BDB" w:rsidP="00C5397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Югорска, 070190000),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103BDB" w:rsidRPr="00862265" w:rsidRDefault="00103BDB" w:rsidP="00D050D0">
            <w:pPr>
              <w:spacing w:after="0"/>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w:t>
            </w:r>
            <w:r w:rsidR="001A5432">
              <w:rPr>
                <w:rFonts w:ascii="PT Astra Serif" w:eastAsia="Times New Roman" w:hAnsi="PT Astra Serif" w:cs="Times New Roman"/>
                <w:color w:val="000000"/>
                <w:sz w:val="24"/>
                <w:szCs w:val="24"/>
              </w:rPr>
              <w:t>ИКЗ</w:t>
            </w:r>
            <w:r w:rsidR="001A5432">
              <w:t xml:space="preserve"> </w:t>
            </w:r>
            <w:r w:rsidR="00BA0992" w:rsidRPr="00BA0992">
              <w:rPr>
                <w:rFonts w:ascii="PT Astra Serif" w:eastAsia="Times New Roman" w:hAnsi="PT Astra Serif" w:cs="Times New Roman"/>
                <w:color w:val="000000"/>
                <w:sz w:val="24"/>
                <w:szCs w:val="24"/>
              </w:rPr>
              <w:t xml:space="preserve">26 38622002368862201001 0132 001 3101 244 </w:t>
            </w:r>
            <w:r w:rsidR="001A5432">
              <w:rPr>
                <w:rFonts w:ascii="PT Astra Serif" w:eastAsia="Times New Roman" w:hAnsi="PT Astra Serif" w:cs="Times New Roman"/>
                <w:color w:val="000000"/>
                <w:sz w:val="24"/>
                <w:szCs w:val="24"/>
              </w:rPr>
              <w:t>//</w:t>
            </w:r>
            <w:r w:rsidRPr="00862265">
              <w:rPr>
                <w:rFonts w:ascii="PT Astra Serif" w:eastAsia="Times New Roman" w:hAnsi="PT Astra Serif" w:cs="Times New Roman"/>
                <w:color w:val="000000"/>
                <w:sz w:val="24"/>
                <w:szCs w:val="24"/>
              </w:rPr>
              <w:t>Обеспечение исполнения муниципального контракта по аукциону в электронной форме</w:t>
            </w:r>
            <w:r w:rsidR="007C020E">
              <w:rPr>
                <w:rFonts w:ascii="PT Astra Serif" w:eastAsia="Times New Roman" w:hAnsi="PT Astra Serif" w:cs="Times New Roman"/>
                <w:color w:val="000000"/>
                <w:sz w:val="24"/>
                <w:szCs w:val="24"/>
              </w:rPr>
              <w:t xml:space="preserve"> № ___________ на поставку </w:t>
            </w:r>
            <w:r w:rsidR="007C020E" w:rsidRPr="007C020E">
              <w:rPr>
                <w:rFonts w:ascii="PT Astra Serif" w:eastAsia="Times New Roman" w:hAnsi="PT Astra Serif" w:cs="Times New Roman"/>
                <w:color w:val="000000"/>
                <w:sz w:val="24"/>
                <w:szCs w:val="24"/>
              </w:rPr>
              <w:t>шка</w:t>
            </w:r>
            <w:r w:rsidR="007C020E">
              <w:rPr>
                <w:rFonts w:ascii="PT Astra Serif" w:eastAsia="Times New Roman" w:hAnsi="PT Astra Serif" w:cs="Times New Roman"/>
                <w:color w:val="000000"/>
                <w:sz w:val="24"/>
                <w:szCs w:val="24"/>
              </w:rPr>
              <w:t>фов картотечных, металлических</w:t>
            </w:r>
            <w:r w:rsidRPr="00862265">
              <w:rPr>
                <w:rFonts w:ascii="PT Astra Serif" w:eastAsia="Times New Roman" w:hAnsi="PT Astra Serif" w:cs="Times New Roman"/>
                <w:color w:val="000000"/>
                <w:sz w:val="24"/>
                <w:szCs w:val="24"/>
              </w:rPr>
              <w:t>».</w:t>
            </w:r>
          </w:p>
          <w:p w:rsidR="00103BDB" w:rsidRPr="00862265" w:rsidRDefault="00103BDB" w:rsidP="00D050D0">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103BDB"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D050D0" w:rsidRPr="00D050D0" w:rsidRDefault="00D050D0" w:rsidP="00D050D0">
            <w:pPr>
              <w:spacing w:after="0"/>
              <w:ind w:firstLine="492"/>
              <w:jc w:val="both"/>
              <w:rPr>
                <w:rFonts w:ascii="Times New Roman" w:hAnsi="Times New Roman" w:cs="Times New Roman"/>
                <w:color w:val="000000"/>
                <w:sz w:val="24"/>
                <w:szCs w:val="24"/>
              </w:rPr>
            </w:pPr>
            <w:r w:rsidRPr="00D050D0">
              <w:rPr>
                <w:rFonts w:ascii="Times New Roman" w:hAnsi="Times New Roman" w:cs="Times New Roman"/>
                <w:color w:val="000000"/>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D050D0" w:rsidRPr="00D050D0" w:rsidRDefault="00D050D0" w:rsidP="00D050D0">
            <w:pPr>
              <w:spacing w:after="0"/>
              <w:ind w:firstLine="492"/>
              <w:jc w:val="both"/>
              <w:rPr>
                <w:rFonts w:ascii="Times New Roman" w:hAnsi="Times New Roman" w:cs="Times New Roman"/>
                <w:color w:val="000000"/>
                <w:sz w:val="24"/>
                <w:szCs w:val="24"/>
              </w:rPr>
            </w:pPr>
            <w:r w:rsidRPr="00D050D0">
              <w:rPr>
                <w:rFonts w:ascii="Times New Roman" w:hAnsi="Times New Roman" w:cs="Times New Roman"/>
                <w:color w:val="000000"/>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D050D0" w:rsidRPr="00D050D0" w:rsidRDefault="00D050D0" w:rsidP="00D050D0">
            <w:pPr>
              <w:spacing w:after="0"/>
              <w:ind w:firstLine="492"/>
              <w:jc w:val="both"/>
              <w:rPr>
                <w:rFonts w:ascii="Times New Roman" w:hAnsi="Times New Roman" w:cs="Times New Roman"/>
                <w:color w:val="000000"/>
                <w:sz w:val="24"/>
                <w:szCs w:val="24"/>
              </w:rPr>
            </w:pPr>
            <w:r w:rsidRPr="00D050D0">
              <w:rPr>
                <w:rFonts w:ascii="Times New Roman" w:hAnsi="Times New Roman" w:cs="Times New Roman"/>
                <w:color w:val="000000"/>
                <w:sz w:val="24"/>
                <w:szCs w:val="24"/>
              </w:rPr>
              <w:t xml:space="preserve">1) заключения контракта с участником закупки, который является казенным учреждением; </w:t>
            </w:r>
          </w:p>
          <w:p w:rsidR="00D050D0" w:rsidRPr="00D050D0" w:rsidRDefault="00D050D0" w:rsidP="00D050D0">
            <w:pPr>
              <w:spacing w:after="0"/>
              <w:ind w:firstLine="492"/>
              <w:jc w:val="both"/>
              <w:rPr>
                <w:rFonts w:ascii="Times New Roman" w:hAnsi="Times New Roman" w:cs="Times New Roman"/>
                <w:color w:val="000000"/>
                <w:sz w:val="24"/>
                <w:szCs w:val="24"/>
              </w:rPr>
            </w:pPr>
            <w:r w:rsidRPr="00D050D0">
              <w:rPr>
                <w:rFonts w:ascii="Times New Roman" w:hAnsi="Times New Roman" w:cs="Times New Roman"/>
                <w:color w:val="000000"/>
                <w:sz w:val="24"/>
                <w:szCs w:val="24"/>
              </w:rPr>
              <w:t xml:space="preserve">2) осуществления закупки услуги по предоставлению кредита; </w:t>
            </w:r>
          </w:p>
          <w:p w:rsidR="00D050D0" w:rsidRPr="00D050D0" w:rsidRDefault="00D050D0" w:rsidP="00D050D0">
            <w:pPr>
              <w:spacing w:after="0"/>
              <w:ind w:firstLine="492"/>
              <w:jc w:val="both"/>
              <w:rPr>
                <w:rFonts w:ascii="Times New Roman" w:hAnsi="Times New Roman" w:cs="Times New Roman"/>
                <w:color w:val="000000"/>
                <w:sz w:val="24"/>
                <w:szCs w:val="24"/>
              </w:rPr>
            </w:pPr>
            <w:r w:rsidRPr="00D050D0">
              <w:rPr>
                <w:rFonts w:ascii="Times New Roman" w:hAnsi="Times New Roman" w:cs="Times New Roman"/>
                <w:color w:val="000000"/>
                <w:sz w:val="24"/>
                <w:szCs w:val="24"/>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D050D0" w:rsidRPr="00862265" w:rsidRDefault="00D050D0" w:rsidP="00D050D0">
            <w:pPr>
              <w:spacing w:after="0" w:line="240" w:lineRule="auto"/>
              <w:jc w:val="both"/>
              <w:rPr>
                <w:rFonts w:ascii="PT Astra Serif" w:eastAsia="Times New Roman" w:hAnsi="PT Astra Serif" w:cs="Times New Roman"/>
                <w:color w:val="000000"/>
                <w:sz w:val="24"/>
                <w:szCs w:val="24"/>
              </w:rPr>
            </w:pPr>
            <w:r w:rsidRPr="00D050D0">
              <w:rPr>
                <w:rFonts w:ascii="Times New Roman" w:hAnsi="Times New Roman" w:cs="Times New Roman"/>
                <w:color w:val="000000"/>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D050D0" w:rsidP="00C5397F">
            <w:pPr>
              <w:spacing w:before="100" w:beforeAutospacing="1" w:after="100" w:afterAutospacing="1"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r w:rsidR="00D050D0">
              <w:rPr>
                <w:rFonts w:ascii="PT Astra Serif" w:eastAsia="Times New Roman" w:hAnsi="PT Astra Serif" w:cs="Times New Roman"/>
                <w:sz w:val="24"/>
                <w:szCs w:val="24"/>
              </w:rPr>
              <w:t>)</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D050D0" w:rsidP="00C5397F">
            <w:pPr>
              <w:spacing w:before="100" w:beforeAutospacing="1" w:after="100" w:afterAutospacing="1"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D050D0"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Информация о возможности одностороннего отказа от исполнения контракта в </w:t>
            </w:r>
            <w:r w:rsidRPr="00862265">
              <w:rPr>
                <w:rFonts w:ascii="PT Astra Serif" w:eastAsia="Times New Roman" w:hAnsi="PT Astra Serif" w:cs="Times New Roman"/>
                <w:color w:val="000000"/>
                <w:sz w:val="24"/>
                <w:szCs w:val="24"/>
              </w:rPr>
              <w:lastRenderedPageBreak/>
              <w:t>соответствии со статьей 95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Pr="00862265">
              <w:rPr>
                <w:rFonts w:ascii="PT Astra Serif" w:eastAsia="Times New Roman" w:hAnsi="PT Astra Serif" w:cs="Times New Roman"/>
                <w:color w:val="000000"/>
                <w:sz w:val="24"/>
                <w:szCs w:val="24"/>
              </w:rPr>
              <w:lastRenderedPageBreak/>
              <w:t>контрактом.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D050D0"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lastRenderedPageBreak/>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D47E46">
              <w:rPr>
                <w:rFonts w:ascii="PT Astra Serif" w:eastAsia="Times New Roman" w:hAnsi="PT Astra Serif" w:cs="Times New Roman"/>
                <w:color w:val="000000"/>
                <w:sz w:val="24"/>
                <w:szCs w:val="24"/>
              </w:rPr>
              <w:t>29</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D47E46">
              <w:rPr>
                <w:rFonts w:ascii="PT Astra Serif" w:eastAsia="Times New Roman" w:hAnsi="PT Astra Serif" w:cs="Times New Roman"/>
                <w:color w:val="000000"/>
                <w:sz w:val="24"/>
                <w:szCs w:val="24"/>
              </w:rPr>
              <w:t>июля</w:t>
            </w:r>
            <w:r w:rsidR="001A5432">
              <w:rPr>
                <w:rFonts w:ascii="PT Astra Serif" w:eastAsia="Times New Roman" w:hAnsi="PT Astra Serif" w:cs="Times New Roman"/>
                <w:color w:val="000000"/>
                <w:sz w:val="24"/>
                <w:szCs w:val="24"/>
              </w:rPr>
              <w:t xml:space="preserve"> 2026</w:t>
            </w:r>
            <w:r w:rsidRPr="00862265">
              <w:rPr>
                <w:rFonts w:ascii="PT Astra Serif" w:eastAsia="Times New Roman" w:hAnsi="PT Astra Serif" w:cs="Times New Roman"/>
                <w:color w:val="000000"/>
                <w:sz w:val="24"/>
                <w:szCs w:val="24"/>
              </w:rPr>
              <w:t xml:space="preserve"> г.</w:t>
            </w:r>
          </w:p>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D050D0"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7C020E" w:rsidP="00D47E46">
            <w:pPr>
              <w:spacing w:before="100" w:after="100" w:line="240" w:lineRule="auto"/>
              <w:ind w:left="75" w:right="75"/>
              <w:jc w:val="both"/>
              <w:rPr>
                <w:rFonts w:ascii="PT Astra Serif" w:eastAsia="Times New Roman" w:hAnsi="PT Astra Serif" w:cs="Times New Roman"/>
                <w:i/>
                <w:color w:val="000000"/>
                <w:sz w:val="24"/>
                <w:szCs w:val="24"/>
              </w:rPr>
            </w:pPr>
            <w:r w:rsidRPr="007C020E">
              <w:rPr>
                <w:rFonts w:ascii="PT Astra Serif" w:eastAsia="Times New Roman" w:hAnsi="PT Astra Serif" w:cs="Times New Roman"/>
                <w:color w:val="000000"/>
                <w:sz w:val="24"/>
                <w:szCs w:val="24"/>
              </w:rPr>
              <w:t>«</w:t>
            </w:r>
            <w:r w:rsidR="00D47E46">
              <w:rPr>
                <w:rFonts w:ascii="PT Astra Serif" w:eastAsia="Times New Roman" w:hAnsi="PT Astra Serif" w:cs="Times New Roman"/>
                <w:color w:val="000000"/>
                <w:sz w:val="24"/>
                <w:szCs w:val="24"/>
              </w:rPr>
              <w:t>29</w:t>
            </w:r>
            <w:r w:rsidRPr="007C020E">
              <w:rPr>
                <w:rFonts w:ascii="PT Astra Serif" w:eastAsia="Times New Roman" w:hAnsi="PT Astra Serif" w:cs="Times New Roman"/>
                <w:color w:val="000000"/>
                <w:sz w:val="24"/>
                <w:szCs w:val="24"/>
              </w:rPr>
              <w:t xml:space="preserve">» </w:t>
            </w:r>
            <w:r w:rsidR="00D47E46">
              <w:rPr>
                <w:rFonts w:ascii="PT Astra Serif" w:eastAsia="Times New Roman" w:hAnsi="PT Astra Serif" w:cs="Times New Roman"/>
                <w:color w:val="000000"/>
                <w:sz w:val="24"/>
                <w:szCs w:val="24"/>
              </w:rPr>
              <w:t xml:space="preserve">июля </w:t>
            </w:r>
            <w:r w:rsidRPr="007C020E">
              <w:rPr>
                <w:rFonts w:ascii="PT Astra Serif" w:eastAsia="Times New Roman" w:hAnsi="PT Astra Serif" w:cs="Times New Roman"/>
                <w:color w:val="000000"/>
                <w:sz w:val="24"/>
                <w:szCs w:val="24"/>
              </w:rPr>
              <w:t>2026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D050D0"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7C020E" w:rsidP="00D47E46">
            <w:pPr>
              <w:spacing w:before="100" w:after="100" w:line="240" w:lineRule="auto"/>
              <w:ind w:left="75" w:right="75"/>
              <w:jc w:val="both"/>
              <w:rPr>
                <w:rFonts w:ascii="PT Astra Serif" w:eastAsia="Times New Roman" w:hAnsi="PT Astra Serif" w:cs="Times New Roman"/>
                <w:color w:val="000000"/>
                <w:sz w:val="24"/>
                <w:szCs w:val="24"/>
              </w:rPr>
            </w:pPr>
            <w:r w:rsidRPr="007C020E">
              <w:rPr>
                <w:rFonts w:ascii="PT Astra Serif" w:eastAsia="Times New Roman" w:hAnsi="PT Astra Serif" w:cs="Times New Roman"/>
                <w:color w:val="000000"/>
                <w:sz w:val="24"/>
                <w:szCs w:val="24"/>
              </w:rPr>
              <w:t>«</w:t>
            </w:r>
            <w:r w:rsidR="00D47E46">
              <w:rPr>
                <w:rFonts w:ascii="PT Astra Serif" w:eastAsia="Times New Roman" w:hAnsi="PT Astra Serif" w:cs="Times New Roman"/>
                <w:color w:val="000000"/>
                <w:sz w:val="24"/>
                <w:szCs w:val="24"/>
              </w:rPr>
              <w:t>30</w:t>
            </w:r>
            <w:r w:rsidRPr="007C020E">
              <w:rPr>
                <w:rFonts w:ascii="PT Astra Serif" w:eastAsia="Times New Roman" w:hAnsi="PT Astra Serif" w:cs="Times New Roman"/>
                <w:color w:val="000000"/>
                <w:sz w:val="24"/>
                <w:szCs w:val="24"/>
              </w:rPr>
              <w:t xml:space="preserve">» </w:t>
            </w:r>
            <w:r w:rsidR="00D47E46">
              <w:rPr>
                <w:rFonts w:ascii="PT Astra Serif" w:eastAsia="Times New Roman" w:hAnsi="PT Astra Serif" w:cs="Times New Roman"/>
                <w:color w:val="000000"/>
                <w:sz w:val="24"/>
                <w:szCs w:val="24"/>
              </w:rPr>
              <w:t>июля</w:t>
            </w:r>
            <w:bookmarkStart w:id="0" w:name="_GoBack"/>
            <w:bookmarkEnd w:id="0"/>
            <w:r w:rsidRPr="007C020E">
              <w:rPr>
                <w:rFonts w:ascii="PT Astra Serif" w:eastAsia="Times New Roman" w:hAnsi="PT Astra Serif" w:cs="Times New Roman"/>
                <w:color w:val="000000"/>
                <w:sz w:val="24"/>
                <w:szCs w:val="24"/>
              </w:rPr>
              <w:t xml:space="preserve"> 2026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D050D0"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103BDB" w:rsidRPr="00862265" w:rsidRDefault="00103BDB" w:rsidP="00103BD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103BDB" w:rsidRPr="00862265" w:rsidRDefault="00103BDB" w:rsidP="00103BD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4116"/>
      </w:tblGrid>
      <w:tr w:rsidR="00FB63A2" w:rsidRPr="00862265" w:rsidTr="00177426">
        <w:tc>
          <w:tcPr>
            <w:tcW w:w="4116" w:type="dxa"/>
            <w:tcMar>
              <w:top w:w="75" w:type="dxa"/>
              <w:left w:w="75" w:type="dxa"/>
              <w:bottom w:w="75" w:type="dxa"/>
              <w:right w:w="75" w:type="dxa"/>
            </w:tcMar>
            <w:vAlign w:val="center"/>
          </w:tcPr>
          <w:p w:rsidR="00FB63A2" w:rsidRPr="00862265" w:rsidRDefault="00FB63A2" w:rsidP="00BA0992">
            <w:pPr>
              <w:spacing w:before="100" w:beforeAutospacing="1" w:after="100" w:afterAutospacing="1" w:line="240" w:lineRule="auto"/>
              <w:ind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r>
    </w:tbl>
    <w:p w:rsidR="00103BDB" w:rsidRPr="00862265" w:rsidRDefault="00103BDB" w:rsidP="00103BDB">
      <w:pPr>
        <w:spacing w:before="100" w:beforeAutospacing="1" w:after="100" w:afterAutospacing="1" w:line="240" w:lineRule="auto"/>
        <w:rPr>
          <w:rFonts w:ascii="PT Astra Serif" w:eastAsia="Times New Roman" w:hAnsi="PT Astra Serif" w:cs="Times New Roman"/>
          <w:sz w:val="24"/>
          <w:szCs w:val="24"/>
        </w:rPr>
      </w:pPr>
    </w:p>
    <w:p w:rsidR="00103BDB" w:rsidRDefault="00103BDB" w:rsidP="00103BDB"/>
    <w:p w:rsidR="00103BDB" w:rsidRDefault="00103BDB"/>
    <w:sectPr w:rsidR="0010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A3"/>
    <w:rsid w:val="000F44ED"/>
    <w:rsid w:val="000F5CAB"/>
    <w:rsid w:val="00103BDB"/>
    <w:rsid w:val="00194F56"/>
    <w:rsid w:val="001A5432"/>
    <w:rsid w:val="00206412"/>
    <w:rsid w:val="00240DDA"/>
    <w:rsid w:val="003A39A3"/>
    <w:rsid w:val="004E6846"/>
    <w:rsid w:val="00764D53"/>
    <w:rsid w:val="007C020E"/>
    <w:rsid w:val="009835CD"/>
    <w:rsid w:val="00A42157"/>
    <w:rsid w:val="00B10E2B"/>
    <w:rsid w:val="00B240F2"/>
    <w:rsid w:val="00B253DD"/>
    <w:rsid w:val="00B457FF"/>
    <w:rsid w:val="00B5171F"/>
    <w:rsid w:val="00BA0992"/>
    <w:rsid w:val="00D050D0"/>
    <w:rsid w:val="00D47E46"/>
    <w:rsid w:val="00EE26AD"/>
    <w:rsid w:val="00F614FA"/>
    <w:rsid w:val="00FB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3023</Words>
  <Characters>17235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Боярищева Татьяна Федоровна</cp:lastModifiedBy>
  <cp:revision>19</cp:revision>
  <cp:lastPrinted>2026-07-20T09:21:00Z</cp:lastPrinted>
  <dcterms:created xsi:type="dcterms:W3CDTF">2025-01-21T11:02:00Z</dcterms:created>
  <dcterms:modified xsi:type="dcterms:W3CDTF">2026-07-20T09:24:00Z</dcterms:modified>
</cp:coreProperties>
</file>