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575" w:rsidRDefault="00EB5575" w:rsidP="00EB5575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EB5575" w:rsidRDefault="00EB5575" w:rsidP="00EB5575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EB5575" w:rsidRDefault="00EB5575" w:rsidP="00EB5575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EB5575" w:rsidRDefault="00EB5575" w:rsidP="00EB5575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телефакс: (34675) 5-00- 83</w:t>
      </w:r>
    </w:p>
    <w:p w:rsidR="00EB5575" w:rsidRDefault="00EB5575" w:rsidP="00EB5575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телефон:  (34675)  5-00-52; 5-00-83</w:t>
      </w:r>
    </w:p>
    <w:p w:rsidR="00EB5575" w:rsidRDefault="00EB5575" w:rsidP="00EB5575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EB5575" w:rsidRDefault="00EB5575" w:rsidP="00EB5575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EB5575" w:rsidRDefault="00EB5575" w:rsidP="00EB5575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EB5575" w:rsidRDefault="00EB5575" w:rsidP="00EB5575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«О внесении изменений в постановление администрации го</w:t>
      </w:r>
      <w:r w:rsidR="00E326FE">
        <w:rPr>
          <w:rFonts w:ascii="PT Astra Serif" w:hAnsi="PT Astra Serif" w:cs="Times New Roman"/>
          <w:sz w:val="24"/>
          <w:szCs w:val="24"/>
        </w:rPr>
        <w:t xml:space="preserve">рода </w:t>
      </w:r>
      <w:proofErr w:type="spellStart"/>
      <w:r w:rsidR="00E326F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E326FE">
        <w:rPr>
          <w:rFonts w:ascii="PT Astra Serif" w:hAnsi="PT Astra Serif" w:cs="Times New Roman"/>
          <w:sz w:val="24"/>
          <w:szCs w:val="24"/>
        </w:rPr>
        <w:t xml:space="preserve"> от 31.10.2018 № 3010</w:t>
      </w: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EB5575" w:rsidRDefault="00EB5575" w:rsidP="00EB5575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</w:t>
      </w:r>
      <w:r w:rsidR="00E326FE">
        <w:rPr>
          <w:rFonts w:ascii="PT Astra Serif" w:hAnsi="PT Astra Serif" w:cs="Times New Roman"/>
          <w:sz w:val="24"/>
          <w:szCs w:val="24"/>
        </w:rPr>
        <w:t>Развитие физической культуры и спорта</w:t>
      </w:r>
      <w:r>
        <w:rPr>
          <w:rFonts w:ascii="PT Astra Serif" w:hAnsi="PT Astra Serif" w:cs="Times New Roman"/>
          <w:sz w:val="24"/>
          <w:szCs w:val="24"/>
        </w:rPr>
        <w:t xml:space="preserve">»   </w:t>
      </w:r>
    </w:p>
    <w:p w:rsidR="00EB5575" w:rsidRDefault="00EB5575" w:rsidP="00EB5575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</w:p>
    <w:p w:rsidR="00EB5575" w:rsidRDefault="00EB5575" w:rsidP="00EB5575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  </w:t>
      </w:r>
      <w:r w:rsidR="00CF4912">
        <w:rPr>
          <w:rFonts w:ascii="PT Astra Serif" w:hAnsi="PT Astra Serif" w:cs="Times New Roman"/>
          <w:sz w:val="24"/>
          <w:szCs w:val="24"/>
        </w:rPr>
        <w:t>65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от   12  ноября  2021 года</w:t>
      </w:r>
    </w:p>
    <w:p w:rsidR="00EB5575" w:rsidRDefault="00EB5575" w:rsidP="00EB557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EB5575" w:rsidRDefault="00EB5575" w:rsidP="00EB557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</w:t>
      </w:r>
      <w:r w:rsidR="00E326FE">
        <w:rPr>
          <w:rFonts w:ascii="PT Astra Serif" w:hAnsi="PT Astra Serif" w:cs="Times New Roman"/>
          <w:sz w:val="24"/>
          <w:szCs w:val="24"/>
        </w:rPr>
        <w:t xml:space="preserve">ода </w:t>
      </w:r>
      <w:proofErr w:type="spellStart"/>
      <w:r w:rsidR="00E326F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E326FE">
        <w:rPr>
          <w:rFonts w:ascii="PT Astra Serif" w:hAnsi="PT Astra Serif" w:cs="Times New Roman"/>
          <w:sz w:val="24"/>
          <w:szCs w:val="24"/>
        </w:rPr>
        <w:t xml:space="preserve"> от 31.10.2018 № 3010</w:t>
      </w:r>
      <w:r>
        <w:rPr>
          <w:rFonts w:ascii="PT Astra Serif" w:hAnsi="PT Astra Serif" w:cs="Times New Roman"/>
          <w:sz w:val="24"/>
          <w:szCs w:val="24"/>
        </w:rPr>
        <w:t xml:space="preserve"> 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</w:t>
      </w:r>
      <w:r w:rsidR="00E326FE">
        <w:rPr>
          <w:rFonts w:ascii="PT Astra Serif" w:hAnsi="PT Astra Serif" w:cs="Times New Roman"/>
          <w:sz w:val="24"/>
          <w:szCs w:val="24"/>
        </w:rPr>
        <w:t>Развитие физической культуры и спорта</w:t>
      </w:r>
      <w:r>
        <w:rPr>
          <w:rFonts w:ascii="PT Astra Serif" w:hAnsi="PT Astra Serif" w:cs="Times New Roman"/>
          <w:sz w:val="24"/>
          <w:szCs w:val="24"/>
        </w:rPr>
        <w:t xml:space="preserve">»  (далее по тексту - «Проект постановления»). </w:t>
      </w:r>
    </w:p>
    <w:p w:rsidR="00EB5575" w:rsidRDefault="00EB5575" w:rsidP="00EB5575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EB5575" w:rsidRDefault="00EB5575" w:rsidP="00EB557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</w:t>
      </w:r>
      <w:r w:rsidR="00E326FE">
        <w:rPr>
          <w:rFonts w:ascii="PT Astra Serif" w:hAnsi="PT Astra Serif" w:cs="Times New Roman"/>
          <w:sz w:val="24"/>
          <w:szCs w:val="24"/>
        </w:rPr>
        <w:t xml:space="preserve">да </w:t>
      </w:r>
      <w:proofErr w:type="spellStart"/>
      <w:r w:rsidR="00E326FE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E326FE">
        <w:rPr>
          <w:rFonts w:ascii="PT Astra Serif" w:hAnsi="PT Astra Serif" w:cs="Times New Roman"/>
          <w:sz w:val="24"/>
          <w:szCs w:val="24"/>
        </w:rPr>
        <w:t xml:space="preserve">  от 31.10.2018 № 3010</w:t>
      </w:r>
      <w:r>
        <w:rPr>
          <w:rFonts w:ascii="PT Astra Serif" w:hAnsi="PT Astra Serif" w:cs="Times New Roman"/>
          <w:sz w:val="24"/>
          <w:szCs w:val="24"/>
        </w:rPr>
        <w:t>» с приложениями;</w:t>
      </w:r>
    </w:p>
    <w:p w:rsidR="00EB5575" w:rsidRPr="00013C23" w:rsidRDefault="00EB5575" w:rsidP="00EB557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b/>
          <w:color w:val="FF0000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  <w:r w:rsidRPr="00EB766C">
        <w:rPr>
          <w:rFonts w:ascii="PT Astra Serif" w:hAnsi="PT Astra Serif" w:cs="Times New Roman"/>
          <w:sz w:val="24"/>
          <w:szCs w:val="24"/>
        </w:rPr>
        <w:t>от 12.11.2021               №   о  проведенных правовой и  антикоррупционной экспертизах  проекта постановления;</w:t>
      </w:r>
      <w:proofErr w:type="gramEnd"/>
    </w:p>
    <w:p w:rsidR="00EB5575" w:rsidRDefault="00EB5575" w:rsidP="00EB557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пояснительная записка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постановления, сравнительная таблица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EB5575" w:rsidRDefault="00EB5575" w:rsidP="00EB5575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Представленным Проектом постановления в муниципальную программу вносятся следующие  изменения, предусматривающие: </w:t>
      </w:r>
    </w:p>
    <w:p w:rsidR="00EB5575" w:rsidRPr="00EB19C9" w:rsidRDefault="00EB5575" w:rsidP="00EB557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 w:cs="Times New Roman"/>
          <w:sz w:val="24"/>
          <w:szCs w:val="24"/>
        </w:rPr>
        <w:t xml:space="preserve">1. Приведение объемов финансового обеспечения реализации структурных элементов (основных мероприятий) муниципальной программы на 2022 год и на плановый период 2023 и 2024 годов в соответствие с доведенными предельными объемами бюджетных ассигнований, в связи с чем произведено уточнение (увеличение) общего объема финансирования затрат на реализацию мероприятий программы </w:t>
      </w:r>
      <w:r w:rsidRPr="00112B1B">
        <w:rPr>
          <w:rFonts w:ascii="PT Astra Serif" w:hAnsi="PT Astra Serif" w:cs="Times New Roman"/>
          <w:b/>
          <w:sz w:val="24"/>
          <w:szCs w:val="24"/>
        </w:rPr>
        <w:t xml:space="preserve">за счет средств бюджета на 2022 год </w:t>
      </w:r>
      <w:r w:rsidRPr="00456C4E">
        <w:rPr>
          <w:rFonts w:ascii="PT Astra Serif" w:hAnsi="PT Astra Serif" w:cs="Times New Roman"/>
          <w:sz w:val="24"/>
          <w:szCs w:val="24"/>
        </w:rPr>
        <w:t xml:space="preserve">(+) </w:t>
      </w:r>
      <w:r w:rsidR="00752FAF" w:rsidRPr="00456C4E">
        <w:rPr>
          <w:rFonts w:ascii="PT Astra Serif" w:hAnsi="PT Astra Serif" w:cs="Times New Roman"/>
          <w:sz w:val="24"/>
          <w:szCs w:val="24"/>
        </w:rPr>
        <w:t>30 772,0</w:t>
      </w:r>
      <w:r w:rsidRPr="00456C4E">
        <w:rPr>
          <w:rFonts w:ascii="PT Astra Serif" w:hAnsi="PT Astra Serif" w:cs="Times New Roman"/>
          <w:sz w:val="24"/>
          <w:szCs w:val="24"/>
        </w:rPr>
        <w:t xml:space="preserve">  </w:t>
      </w:r>
      <w:proofErr w:type="spellStart"/>
      <w:r w:rsidRPr="00456C4E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Pr="00456C4E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Pr="00456C4E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Pr="00456C4E"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sz w:val="24"/>
          <w:szCs w:val="24"/>
        </w:rPr>
        <w:t xml:space="preserve"> на 2023 год  (</w:t>
      </w:r>
      <w:r w:rsidR="00B41525">
        <w:rPr>
          <w:rFonts w:ascii="PT Astra Serif" w:hAnsi="PT Astra Serif" w:cs="Times New Roman"/>
          <w:sz w:val="24"/>
          <w:szCs w:val="24"/>
        </w:rPr>
        <w:t>-</w:t>
      </w:r>
      <w:r>
        <w:rPr>
          <w:rFonts w:ascii="PT Astra Serif" w:hAnsi="PT Astra Serif" w:cs="Times New Roman"/>
          <w:sz w:val="24"/>
          <w:szCs w:val="24"/>
        </w:rPr>
        <w:t xml:space="preserve">) </w:t>
      </w:r>
      <w:r w:rsidR="00B41525">
        <w:rPr>
          <w:rFonts w:ascii="PT Astra Serif" w:hAnsi="PT Astra Serif" w:cs="Times New Roman"/>
          <w:sz w:val="24"/>
          <w:szCs w:val="24"/>
        </w:rPr>
        <w:t>2 892,1</w:t>
      </w:r>
      <w:r w:rsidR="00B27ED4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B41525">
        <w:rPr>
          <w:rFonts w:ascii="PT Astra Serif" w:hAnsi="PT Astra Serif" w:cs="Times New Roman"/>
          <w:sz w:val="24"/>
          <w:szCs w:val="24"/>
        </w:rPr>
        <w:t>тыс</w:t>
      </w:r>
      <w:proofErr w:type="gramStart"/>
      <w:r w:rsidR="00B41525">
        <w:rPr>
          <w:rFonts w:ascii="PT Astra Serif" w:hAnsi="PT Astra Serif" w:cs="Times New Roman"/>
          <w:sz w:val="24"/>
          <w:szCs w:val="24"/>
        </w:rPr>
        <w:t>.р</w:t>
      </w:r>
      <w:proofErr w:type="gramEnd"/>
      <w:r w:rsidR="00B41525">
        <w:rPr>
          <w:rFonts w:ascii="PT Astra Serif" w:hAnsi="PT Astra Serif" w:cs="Times New Roman"/>
          <w:sz w:val="24"/>
          <w:szCs w:val="24"/>
        </w:rPr>
        <w:t>уб</w:t>
      </w:r>
      <w:proofErr w:type="spellEnd"/>
      <w:r w:rsidR="00B41525">
        <w:rPr>
          <w:rFonts w:ascii="PT Astra Serif" w:hAnsi="PT Astra Serif" w:cs="Times New Roman"/>
          <w:sz w:val="24"/>
          <w:szCs w:val="24"/>
        </w:rPr>
        <w:t>.,  на 2024 год (+</w:t>
      </w:r>
      <w:r>
        <w:rPr>
          <w:rFonts w:ascii="PT Astra Serif" w:hAnsi="PT Astra Serif" w:cs="Times New Roman"/>
          <w:sz w:val="24"/>
          <w:szCs w:val="24"/>
        </w:rPr>
        <w:t xml:space="preserve">) </w:t>
      </w:r>
      <w:r w:rsidR="00B41525">
        <w:rPr>
          <w:rFonts w:ascii="PT Astra Serif" w:hAnsi="PT Astra Serif" w:cs="Times New Roman"/>
          <w:sz w:val="24"/>
          <w:szCs w:val="24"/>
        </w:rPr>
        <w:t>23 761,4</w:t>
      </w:r>
      <w:r w:rsidR="00B27ED4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   Объемы финансирования з</w:t>
      </w:r>
      <w:r w:rsidR="00B27ED4">
        <w:rPr>
          <w:rFonts w:ascii="PT Astra Serif" w:hAnsi="PT Astra Serif" w:cs="Times New Roman"/>
          <w:sz w:val="24"/>
          <w:szCs w:val="24"/>
        </w:rPr>
        <w:t>а счет иных источников уточнены</w:t>
      </w:r>
      <w:r>
        <w:rPr>
          <w:rFonts w:ascii="PT Astra Serif" w:hAnsi="PT Astra Serif" w:cs="Times New Roman"/>
          <w:sz w:val="24"/>
          <w:szCs w:val="24"/>
        </w:rPr>
        <w:t xml:space="preserve"> на </w:t>
      </w:r>
      <w:r w:rsidR="00B27ED4">
        <w:rPr>
          <w:rFonts w:ascii="PT Astra Serif" w:hAnsi="PT Astra Serif" w:cs="Times New Roman"/>
          <w:sz w:val="24"/>
          <w:szCs w:val="24"/>
        </w:rPr>
        <w:t xml:space="preserve"> </w:t>
      </w:r>
      <w:r w:rsidR="00B41525">
        <w:rPr>
          <w:rFonts w:ascii="PT Astra Serif" w:hAnsi="PT Astra Serif" w:cs="Times New Roman"/>
          <w:sz w:val="24"/>
          <w:szCs w:val="24"/>
        </w:rPr>
        <w:t>2022 год на  (-) 9 25</w:t>
      </w:r>
      <w:r w:rsidR="00594DF8">
        <w:rPr>
          <w:rFonts w:ascii="PT Astra Serif" w:hAnsi="PT Astra Serif" w:cs="Times New Roman"/>
          <w:sz w:val="24"/>
          <w:szCs w:val="24"/>
        </w:rPr>
        <w:t>,</w:t>
      </w:r>
      <w:r w:rsidR="00B41525">
        <w:rPr>
          <w:rFonts w:ascii="PT Astra Serif" w:hAnsi="PT Astra Serif" w:cs="Times New Roman"/>
          <w:sz w:val="24"/>
          <w:szCs w:val="24"/>
        </w:rPr>
        <w:t xml:space="preserve">6 </w:t>
      </w:r>
      <w:proofErr w:type="spellStart"/>
      <w:r w:rsidR="00B41525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B41525">
        <w:rPr>
          <w:rFonts w:ascii="PT Astra Serif" w:hAnsi="PT Astra Serif" w:cs="Times New Roman"/>
          <w:sz w:val="24"/>
          <w:szCs w:val="24"/>
        </w:rPr>
        <w:t xml:space="preserve">., на 2023 год  (-) 1 </w:t>
      </w:r>
      <w:r w:rsidR="00594DF8">
        <w:rPr>
          <w:rFonts w:ascii="PT Astra Serif" w:hAnsi="PT Astra Serif" w:cs="Times New Roman"/>
          <w:sz w:val="24"/>
          <w:szCs w:val="24"/>
        </w:rPr>
        <w:t>525,6</w:t>
      </w:r>
      <w:r w:rsidR="00B41525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B41525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="00B41525">
        <w:rPr>
          <w:rFonts w:ascii="PT Astra Serif" w:hAnsi="PT Astra Serif" w:cs="Times New Roman"/>
          <w:sz w:val="24"/>
          <w:szCs w:val="24"/>
        </w:rPr>
        <w:t>., на 2024 год (-)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 w:rsidR="00B27ED4">
        <w:rPr>
          <w:rFonts w:ascii="PT Astra Serif" w:hAnsi="PT Astra Serif" w:cs="Times New Roman"/>
          <w:sz w:val="24"/>
          <w:szCs w:val="24"/>
        </w:rPr>
        <w:t xml:space="preserve"> </w:t>
      </w:r>
      <w:r w:rsidR="00172C91">
        <w:rPr>
          <w:rFonts w:ascii="PT Astra Serif" w:hAnsi="PT Astra Serif" w:cs="Times New Roman"/>
          <w:sz w:val="24"/>
          <w:szCs w:val="24"/>
        </w:rPr>
        <w:t xml:space="preserve">2 125,6 </w:t>
      </w:r>
      <w:proofErr w:type="spellStart"/>
      <w:r w:rsidR="00B27ED4"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 w:rsidRPr="00EB19C9">
        <w:rPr>
          <w:rFonts w:ascii="PT Astra Serif" w:hAnsi="PT Astra Serif" w:cs="Times New Roman"/>
          <w:sz w:val="20"/>
          <w:szCs w:val="20"/>
        </w:rPr>
        <w:t xml:space="preserve">. </w:t>
      </w:r>
      <w:r w:rsidRPr="00EB19C9">
        <w:rPr>
          <w:rFonts w:ascii="PT Astra Serif" w:hAnsi="PT Astra Serif"/>
          <w:sz w:val="20"/>
          <w:szCs w:val="20"/>
        </w:rPr>
        <w:t xml:space="preserve"> </w:t>
      </w:r>
    </w:p>
    <w:p w:rsidR="00EB5575" w:rsidRDefault="00EB5575" w:rsidP="00EB557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Общий объем бюджетных ассигнований на реализацию программы с учетом внесенных уточнений  </w:t>
      </w:r>
      <w:r>
        <w:rPr>
          <w:rFonts w:ascii="Times New Roman" w:hAnsi="Times New Roman" w:cs="Times New Roman"/>
          <w:sz w:val="24"/>
          <w:szCs w:val="24"/>
        </w:rPr>
        <w:t xml:space="preserve">составил  </w:t>
      </w:r>
      <w:r w:rsidR="00D24DA6">
        <w:rPr>
          <w:rFonts w:ascii="Times New Roman" w:hAnsi="Times New Roman" w:cs="Times New Roman"/>
          <w:sz w:val="24"/>
          <w:szCs w:val="24"/>
        </w:rPr>
        <w:t>1 857 876,4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тыс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уб</w:t>
      </w:r>
      <w:proofErr w:type="spellEnd"/>
      <w:r>
        <w:rPr>
          <w:rFonts w:ascii="Times New Roman" w:hAnsi="Times New Roman"/>
          <w:sz w:val="24"/>
          <w:szCs w:val="24"/>
        </w:rPr>
        <w:t>., в том числе: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40"/>
        <w:gridCol w:w="2641"/>
        <w:gridCol w:w="2641"/>
        <w:gridCol w:w="2641"/>
      </w:tblGrid>
      <w:tr w:rsidR="00EB5575" w:rsidTr="00DF7365">
        <w:tc>
          <w:tcPr>
            <w:tcW w:w="2640" w:type="dxa"/>
          </w:tcPr>
          <w:p w:rsidR="00EB5575" w:rsidRDefault="00EB5575" w:rsidP="00DF7365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 финансирования </w:t>
            </w:r>
          </w:p>
        </w:tc>
        <w:tc>
          <w:tcPr>
            <w:tcW w:w="2641" w:type="dxa"/>
          </w:tcPr>
          <w:p w:rsidR="00EB5575" w:rsidRDefault="00EB5575" w:rsidP="00DF7365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2641" w:type="dxa"/>
          </w:tcPr>
          <w:p w:rsidR="00EB5575" w:rsidRDefault="00EB5575" w:rsidP="00DF7365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2641" w:type="dxa"/>
          </w:tcPr>
          <w:p w:rsidR="00EB5575" w:rsidRDefault="00EB5575" w:rsidP="00DF7365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</w:tr>
      <w:tr w:rsidR="00D24DA6" w:rsidTr="00DF7365">
        <w:tc>
          <w:tcPr>
            <w:tcW w:w="2640" w:type="dxa"/>
          </w:tcPr>
          <w:p w:rsidR="00D24DA6" w:rsidRDefault="00D24DA6" w:rsidP="00DF7365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641" w:type="dxa"/>
          </w:tcPr>
          <w:p w:rsidR="00D24DA6" w:rsidRDefault="00D24DA6" w:rsidP="009E7BC0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  <w:r w:rsidR="009E7BC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D24DA6" w:rsidRDefault="00D24DA6" w:rsidP="009E7BC0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</w:t>
            </w:r>
            <w:r w:rsidR="009E7BC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1" w:type="dxa"/>
          </w:tcPr>
          <w:p w:rsidR="00D24DA6" w:rsidRDefault="00D24DA6" w:rsidP="009E7BC0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</w:t>
            </w:r>
            <w:r w:rsidR="009E7BC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B5575" w:rsidTr="00DF7365">
        <w:tc>
          <w:tcPr>
            <w:tcW w:w="2640" w:type="dxa"/>
          </w:tcPr>
          <w:p w:rsidR="00EB5575" w:rsidRDefault="00EB5575" w:rsidP="00DF7365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Окружной бюджет</w:t>
            </w:r>
          </w:p>
        </w:tc>
        <w:tc>
          <w:tcPr>
            <w:tcW w:w="2641" w:type="dxa"/>
          </w:tcPr>
          <w:p w:rsidR="00EB5575" w:rsidRDefault="00D24DA6" w:rsidP="009E7BC0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E7BC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496</w:t>
            </w:r>
            <w:r w:rsidR="009E7BC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41" w:type="dxa"/>
          </w:tcPr>
          <w:p w:rsidR="00EB5575" w:rsidRDefault="00D24DA6" w:rsidP="009E7BC0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E7BC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095</w:t>
            </w:r>
            <w:r w:rsidR="009E7BC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41" w:type="dxa"/>
          </w:tcPr>
          <w:p w:rsidR="00EB5575" w:rsidRDefault="00D24DA6" w:rsidP="009E7BC0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9E7BC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375</w:t>
            </w:r>
            <w:r w:rsidR="009E7BC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B5575" w:rsidTr="00DF7365">
        <w:tc>
          <w:tcPr>
            <w:tcW w:w="2640" w:type="dxa"/>
          </w:tcPr>
          <w:p w:rsidR="00EB5575" w:rsidRDefault="00EB5575" w:rsidP="00DF7365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641" w:type="dxa"/>
          </w:tcPr>
          <w:p w:rsidR="00EB5575" w:rsidRDefault="00D24DA6" w:rsidP="009E7BC0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  <w:r w:rsidR="009E7BC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842</w:t>
            </w:r>
            <w:r w:rsidR="009E7BC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41" w:type="dxa"/>
          </w:tcPr>
          <w:p w:rsidR="00EB5575" w:rsidRDefault="00D24DA6" w:rsidP="009E7BC0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  <w:r w:rsidR="009E7BC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879</w:t>
            </w:r>
            <w:r w:rsidR="009E7BC0"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2641" w:type="dxa"/>
          </w:tcPr>
          <w:p w:rsidR="00EB5575" w:rsidRDefault="00D24DA6" w:rsidP="009E7BC0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  <w:r w:rsidR="009E7BC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9E7BC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EB5575" w:rsidTr="00DF7365">
        <w:tc>
          <w:tcPr>
            <w:tcW w:w="2640" w:type="dxa"/>
          </w:tcPr>
          <w:p w:rsidR="00EB5575" w:rsidRPr="00604CF6" w:rsidRDefault="00EB5575" w:rsidP="00DF7365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04CF6">
              <w:rPr>
                <w:rFonts w:ascii="Times New Roman" w:hAnsi="Times New Roman"/>
                <w:b/>
                <w:sz w:val="24"/>
                <w:szCs w:val="24"/>
              </w:rPr>
              <w:t>Итого по бюджету</w:t>
            </w:r>
          </w:p>
        </w:tc>
        <w:tc>
          <w:tcPr>
            <w:tcW w:w="2641" w:type="dxa"/>
          </w:tcPr>
          <w:p w:rsidR="00EB5575" w:rsidRPr="00604CF6" w:rsidRDefault="00172C91" w:rsidP="00DF7365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172 545,4</w:t>
            </w:r>
          </w:p>
        </w:tc>
        <w:tc>
          <w:tcPr>
            <w:tcW w:w="2641" w:type="dxa"/>
          </w:tcPr>
          <w:p w:rsidR="00EB5575" w:rsidRPr="00604CF6" w:rsidRDefault="00172C91" w:rsidP="00DF7365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139 181,6</w:t>
            </w:r>
          </w:p>
        </w:tc>
        <w:tc>
          <w:tcPr>
            <w:tcW w:w="2641" w:type="dxa"/>
          </w:tcPr>
          <w:p w:rsidR="00EB5575" w:rsidRPr="00604CF6" w:rsidRDefault="00172C91" w:rsidP="00DF7365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142 669,4</w:t>
            </w:r>
          </w:p>
        </w:tc>
      </w:tr>
      <w:tr w:rsidR="00EB5575" w:rsidTr="00DF7365">
        <w:tc>
          <w:tcPr>
            <w:tcW w:w="2640" w:type="dxa"/>
          </w:tcPr>
          <w:p w:rsidR="00EB5575" w:rsidRDefault="00EB5575" w:rsidP="00DF7365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2641" w:type="dxa"/>
          </w:tcPr>
          <w:p w:rsidR="00EB5575" w:rsidRDefault="009E7BC0" w:rsidP="009E7BC0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18 636,9</w:t>
            </w:r>
          </w:p>
        </w:tc>
        <w:tc>
          <w:tcPr>
            <w:tcW w:w="2641" w:type="dxa"/>
          </w:tcPr>
          <w:p w:rsidR="00EB5575" w:rsidRDefault="009E7BC0" w:rsidP="009E7BC0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18 636,9</w:t>
            </w:r>
          </w:p>
        </w:tc>
        <w:tc>
          <w:tcPr>
            <w:tcW w:w="2641" w:type="dxa"/>
          </w:tcPr>
          <w:p w:rsidR="00EB5575" w:rsidRDefault="009E7BC0" w:rsidP="009E7BC0">
            <w:pPr>
              <w:tabs>
                <w:tab w:val="center" w:pos="4960"/>
                <w:tab w:val="left" w:pos="651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18 636,9</w:t>
            </w:r>
          </w:p>
        </w:tc>
      </w:tr>
      <w:tr w:rsidR="00EB5575" w:rsidRPr="00D607B5" w:rsidTr="00DF7365">
        <w:tc>
          <w:tcPr>
            <w:tcW w:w="2640" w:type="dxa"/>
          </w:tcPr>
          <w:p w:rsidR="00EB5575" w:rsidRPr="00D607B5" w:rsidRDefault="00EB5575" w:rsidP="00DF7365">
            <w:pPr>
              <w:tabs>
                <w:tab w:val="center" w:pos="4960"/>
                <w:tab w:val="left" w:pos="6510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07B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41" w:type="dxa"/>
          </w:tcPr>
          <w:p w:rsidR="00EB5575" w:rsidRPr="00D607B5" w:rsidRDefault="00172C91" w:rsidP="00DF7365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191 182,3</w:t>
            </w:r>
          </w:p>
        </w:tc>
        <w:tc>
          <w:tcPr>
            <w:tcW w:w="2641" w:type="dxa"/>
          </w:tcPr>
          <w:p w:rsidR="00EB5575" w:rsidRPr="00D607B5" w:rsidRDefault="00172C91" w:rsidP="00DF7365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157 818,5</w:t>
            </w:r>
          </w:p>
        </w:tc>
        <w:tc>
          <w:tcPr>
            <w:tcW w:w="2641" w:type="dxa"/>
          </w:tcPr>
          <w:p w:rsidR="00EB5575" w:rsidRPr="00D607B5" w:rsidRDefault="00172C91" w:rsidP="00DF7365">
            <w:pPr>
              <w:tabs>
                <w:tab w:val="center" w:pos="4960"/>
                <w:tab w:val="left" w:pos="6510"/>
              </w:tabs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161 306,3</w:t>
            </w:r>
          </w:p>
        </w:tc>
      </w:tr>
    </w:tbl>
    <w:p w:rsidR="00EB5575" w:rsidRDefault="00EB5575" w:rsidP="00EB557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EB5575" w:rsidRDefault="00EB5575" w:rsidP="00EB5575">
      <w:pPr>
        <w:tabs>
          <w:tab w:val="center" w:pos="4960"/>
          <w:tab w:val="left" w:pos="6510"/>
        </w:tabs>
        <w:spacing w:after="0"/>
        <w:ind w:right="14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2. </w:t>
      </w:r>
      <w:proofErr w:type="gramStart"/>
      <w:r>
        <w:rPr>
          <w:rFonts w:ascii="PT Astra Serif" w:hAnsi="PT Astra Serif" w:cs="Times New Roman"/>
          <w:sz w:val="24"/>
          <w:szCs w:val="24"/>
        </w:rPr>
        <w:t xml:space="preserve">Приведение структуры муниципальной программы в соответствие Порядку  принятия решения о разработке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их формирования, утверждения и реализации, Модельной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утвержденными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03.11.2021 №2096-п, с учетом Методических </w:t>
      </w:r>
      <w:r>
        <w:rPr>
          <w:rFonts w:ascii="PT Astra Serif" w:hAnsi="PT Astra Serif" w:cs="Times New Roman"/>
          <w:sz w:val="24"/>
          <w:szCs w:val="24"/>
        </w:rPr>
        <w:lastRenderedPageBreak/>
        <w:t xml:space="preserve">рекомендаций по разработке проектов муниципальных программ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, утвержденных постановлением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08.11.2021 №2108-п.</w:t>
      </w:r>
      <w:proofErr w:type="gramEnd"/>
    </w:p>
    <w:p w:rsidR="00EB5575" w:rsidRDefault="00EB5575" w:rsidP="00EB557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EB5575" w:rsidRDefault="00AE4C8A" w:rsidP="00EB557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Исключены: таблицы 4,5 «Сводные показатели муниципальных заданий» и «Перечень возможных рисков при реализации муниципальной программы и мер по их преодолению»;  из текстовой части МП  раздел 1 «О стимулировании инвестиционной и инновационной деятельности, развития конкуренции и негосударственного  сектора экономики».</w:t>
      </w:r>
    </w:p>
    <w:p w:rsidR="00EB5575" w:rsidRDefault="000A7948" w:rsidP="00EB557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Уточнены наименования в Паспорте  МП и табличной части МП.</w:t>
      </w:r>
    </w:p>
    <w:p w:rsidR="000A7948" w:rsidRDefault="000A7948" w:rsidP="00EB557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0A7948" w:rsidRDefault="000A7948" w:rsidP="00EB557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0A7948" w:rsidRDefault="000A7948" w:rsidP="00EB557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</w:p>
    <w:p w:rsidR="00EB5575" w:rsidRDefault="00A65396" w:rsidP="00EB557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Председатель</w:t>
      </w:r>
    </w:p>
    <w:p w:rsidR="00EB5575" w:rsidRDefault="00EB5575" w:rsidP="00EB5575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контрольно-счетной палаты города                                                                                 </w:t>
      </w:r>
      <w:proofErr w:type="spellStart"/>
      <w:r w:rsidR="00A65396">
        <w:rPr>
          <w:rFonts w:ascii="PT Astra Serif" w:hAnsi="PT Astra Serif" w:cs="Times New Roman"/>
          <w:sz w:val="24"/>
          <w:szCs w:val="24"/>
        </w:rPr>
        <w:t>Н.М.Гусева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</w:t>
      </w:r>
    </w:p>
    <w:p w:rsidR="00EB5575" w:rsidRDefault="00EB5575" w:rsidP="00EB5575"/>
    <w:p w:rsidR="008B4AEF" w:rsidRDefault="008B4AEF"/>
    <w:sectPr w:rsidR="008B4AEF" w:rsidSect="00735371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75"/>
    <w:rsid w:val="00030829"/>
    <w:rsid w:val="000A7948"/>
    <w:rsid w:val="00172C91"/>
    <w:rsid w:val="00456C4E"/>
    <w:rsid w:val="00594DF8"/>
    <w:rsid w:val="00752FAF"/>
    <w:rsid w:val="008B4AEF"/>
    <w:rsid w:val="009E7BC0"/>
    <w:rsid w:val="00A65396"/>
    <w:rsid w:val="00AE4C8A"/>
    <w:rsid w:val="00B27ED4"/>
    <w:rsid w:val="00B41525"/>
    <w:rsid w:val="00CF4912"/>
    <w:rsid w:val="00D24DA6"/>
    <w:rsid w:val="00D607B5"/>
    <w:rsid w:val="00E326FE"/>
    <w:rsid w:val="00E83678"/>
    <w:rsid w:val="00EB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75"/>
    <w:pPr>
      <w:suppressAutoHyphens/>
    </w:pPr>
    <w:rPr>
      <w:rFonts w:ascii="Calibri" w:eastAsia="Lucida Sans Unicode" w:hAnsi="Calibri" w:cs="font290"/>
      <w:bCs w:val="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557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B5575"/>
    <w:rPr>
      <w:rFonts w:ascii="Times New Roman" w:eastAsia="Times New Roman" w:hAnsi="Times New Roman"/>
      <w:bCs w:val="0"/>
      <w:sz w:val="24"/>
      <w:szCs w:val="20"/>
      <w:lang w:eastAsia="ar-SA"/>
    </w:rPr>
  </w:style>
  <w:style w:type="table" w:styleId="a5">
    <w:name w:val="Table Grid"/>
    <w:basedOn w:val="a1"/>
    <w:uiPriority w:val="59"/>
    <w:rsid w:val="00EB5575"/>
    <w:pPr>
      <w:spacing w:after="0" w:line="240" w:lineRule="auto"/>
    </w:pPr>
    <w:rPr>
      <w:rFonts w:cstheme="minorBidi"/>
      <w:bCs w:val="0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="Times New Roman"/>
        <w:bCs/>
        <w:kern w:val="2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75"/>
    <w:pPr>
      <w:suppressAutoHyphens/>
    </w:pPr>
    <w:rPr>
      <w:rFonts w:ascii="Calibri" w:eastAsia="Lucida Sans Unicode" w:hAnsi="Calibri" w:cs="font290"/>
      <w:bCs w:val="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B557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EB5575"/>
    <w:rPr>
      <w:rFonts w:ascii="Times New Roman" w:eastAsia="Times New Roman" w:hAnsi="Times New Roman"/>
      <w:bCs w:val="0"/>
      <w:sz w:val="24"/>
      <w:szCs w:val="20"/>
      <w:lang w:eastAsia="ar-SA"/>
    </w:rPr>
  </w:style>
  <w:style w:type="table" w:styleId="a5">
    <w:name w:val="Table Grid"/>
    <w:basedOn w:val="a1"/>
    <w:uiPriority w:val="59"/>
    <w:rsid w:val="00EB5575"/>
    <w:pPr>
      <w:spacing w:after="0" w:line="240" w:lineRule="auto"/>
    </w:pPr>
    <w:rPr>
      <w:rFonts w:cstheme="minorBidi"/>
      <w:bCs w:val="0"/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Наталия Моисеевна</dc:creator>
  <cp:lastModifiedBy>Гусева Наталия Моисеевна</cp:lastModifiedBy>
  <cp:revision>4</cp:revision>
  <cp:lastPrinted>2021-11-15T09:31:00Z</cp:lastPrinted>
  <dcterms:created xsi:type="dcterms:W3CDTF">2021-11-12T11:23:00Z</dcterms:created>
  <dcterms:modified xsi:type="dcterms:W3CDTF">2021-11-15T11:07:00Z</dcterms:modified>
</cp:coreProperties>
</file>