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0" w:rsidRDefault="00D26B30" w:rsidP="00D26B30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B30" w:rsidRDefault="00D26B30" w:rsidP="00D26B3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.10.2018 № 300</w:t>
      </w:r>
      <w:r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Развитие образования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60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12  ноября  2021 года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.10.2018 № 300</w:t>
      </w:r>
      <w:r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6F0950">
        <w:rPr>
          <w:rFonts w:ascii="PT Astra Serif" w:hAnsi="PT Astra Serif" w:cs="Times New Roman"/>
          <w:sz w:val="24"/>
          <w:szCs w:val="24"/>
        </w:rPr>
        <w:t>Развитие образования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D26B30" w:rsidRDefault="00D26B30" w:rsidP="00D26B3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</w:t>
      </w:r>
      <w:r>
        <w:rPr>
          <w:rFonts w:ascii="PT Astra Serif" w:hAnsi="PT Astra Serif" w:cs="Times New Roman"/>
          <w:sz w:val="24"/>
          <w:szCs w:val="24"/>
        </w:rPr>
        <w:t xml:space="preserve">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</w:t>
      </w:r>
      <w:r>
        <w:rPr>
          <w:rFonts w:ascii="PT Astra Serif" w:hAnsi="PT Astra Serif" w:cs="Times New Roman"/>
          <w:sz w:val="24"/>
          <w:szCs w:val="24"/>
        </w:rPr>
        <w:t>.10.2018 № 300</w:t>
      </w:r>
      <w:r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D26B30" w:rsidRP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от 1</w:t>
      </w:r>
      <w:r w:rsidRPr="00D26B30">
        <w:rPr>
          <w:rFonts w:ascii="PT Astra Serif" w:hAnsi="PT Astra Serif" w:cs="Times New Roman"/>
          <w:sz w:val="24"/>
          <w:szCs w:val="24"/>
        </w:rPr>
        <w:t>1</w:t>
      </w:r>
      <w:r w:rsidRPr="00D26B30">
        <w:rPr>
          <w:rFonts w:ascii="PT Astra Serif" w:hAnsi="PT Astra Serif" w:cs="Times New Roman"/>
          <w:sz w:val="24"/>
          <w:szCs w:val="24"/>
        </w:rPr>
        <w:t>.11.2021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259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26B30" w:rsidRDefault="00D26B30" w:rsidP="00D26B3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D26B30" w:rsidRPr="00EB19C9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(+) </w:t>
      </w:r>
      <w:r w:rsidR="00896AF2">
        <w:rPr>
          <w:rFonts w:ascii="PT Astra Serif" w:hAnsi="PT Astra Serif" w:cs="Times New Roman"/>
          <w:b/>
          <w:sz w:val="24"/>
          <w:szCs w:val="24"/>
        </w:rPr>
        <w:t>84 053,3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112B1B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12B1B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12B1B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, на 2023 год  (+)</w:t>
      </w:r>
      <w:r w:rsidR="00896AF2">
        <w:rPr>
          <w:rFonts w:ascii="PT Astra Serif" w:hAnsi="PT Astra Serif" w:cs="Times New Roman"/>
          <w:sz w:val="24"/>
          <w:szCs w:val="24"/>
        </w:rPr>
        <w:t xml:space="preserve">30 815,2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.,  на 202</w:t>
      </w:r>
      <w:r w:rsidR="00896AF2">
        <w:rPr>
          <w:rFonts w:ascii="PT Astra Serif" w:hAnsi="PT Astra Serif" w:cs="Times New Roman"/>
          <w:sz w:val="24"/>
          <w:szCs w:val="24"/>
        </w:rPr>
        <w:t>4 год (-</w:t>
      </w:r>
      <w:r>
        <w:rPr>
          <w:rFonts w:ascii="PT Astra Serif" w:hAnsi="PT Astra Serif" w:cs="Times New Roman"/>
          <w:sz w:val="24"/>
          <w:szCs w:val="24"/>
        </w:rPr>
        <w:t>)</w:t>
      </w:r>
      <w:r w:rsidR="00896AF2">
        <w:rPr>
          <w:rFonts w:ascii="PT Astra Serif" w:hAnsi="PT Astra Serif" w:cs="Times New Roman"/>
          <w:sz w:val="24"/>
          <w:szCs w:val="24"/>
        </w:rPr>
        <w:t xml:space="preserve"> 597 368,5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 </w:t>
      </w:r>
      <w:r w:rsidR="00896AF2">
        <w:rPr>
          <w:rFonts w:ascii="PT Astra Serif" w:hAnsi="PT Astra Serif" w:cs="Times New Roman"/>
          <w:sz w:val="24"/>
          <w:szCs w:val="24"/>
        </w:rPr>
        <w:t>Кроме того уточнены о</w:t>
      </w:r>
      <w:r>
        <w:rPr>
          <w:rFonts w:ascii="PT Astra Serif" w:hAnsi="PT Astra Serif" w:cs="Times New Roman"/>
          <w:sz w:val="24"/>
          <w:szCs w:val="24"/>
        </w:rPr>
        <w:t>бъемы финансирования за счет иных источников</w:t>
      </w:r>
      <w:r w:rsidR="00896AF2">
        <w:rPr>
          <w:rFonts w:ascii="PT Astra Serif" w:hAnsi="PT Astra Serif" w:cs="Times New Roman"/>
          <w:sz w:val="24"/>
          <w:szCs w:val="24"/>
        </w:rPr>
        <w:t>.</w:t>
      </w:r>
      <w:r w:rsidRPr="00EB19C9">
        <w:rPr>
          <w:rFonts w:ascii="PT Astra Serif" w:hAnsi="PT Astra Serif" w:cs="Times New Roman"/>
          <w:sz w:val="20"/>
          <w:szCs w:val="20"/>
        </w:rPr>
        <w:t xml:space="preserve"> </w:t>
      </w:r>
      <w:r w:rsidRPr="00EB19C9">
        <w:rPr>
          <w:rFonts w:ascii="PT Astra Serif" w:hAnsi="PT Astra Serif"/>
          <w:sz w:val="20"/>
          <w:szCs w:val="20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</w:t>
      </w:r>
      <w:r w:rsidR="00896AF2">
        <w:rPr>
          <w:rFonts w:ascii="PT Astra Serif" w:hAnsi="PT Astra Serif"/>
          <w:sz w:val="24"/>
          <w:szCs w:val="24"/>
        </w:rPr>
        <w:t>щий объем финансовых затрат</w:t>
      </w:r>
      <w:r>
        <w:rPr>
          <w:rFonts w:ascii="PT Astra Serif" w:hAnsi="PT Astra Serif"/>
          <w:sz w:val="24"/>
          <w:szCs w:val="24"/>
        </w:rPr>
        <w:t xml:space="preserve">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896AF2">
        <w:rPr>
          <w:rFonts w:ascii="Times New Roman" w:hAnsi="Times New Roman"/>
          <w:sz w:val="24"/>
          <w:szCs w:val="24"/>
        </w:rPr>
        <w:t xml:space="preserve">25 506 239,1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641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41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641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52 285,3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51 353,5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53 528,5</w:t>
            </w:r>
          </w:p>
        </w:tc>
      </w:tr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1 377 696,3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1 376 554,9</w:t>
            </w:r>
          </w:p>
        </w:tc>
        <w:tc>
          <w:tcPr>
            <w:tcW w:w="2641" w:type="dxa"/>
          </w:tcPr>
          <w:p w:rsidR="00D26B30" w:rsidRDefault="00896AF2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1 377 112,8</w:t>
            </w:r>
          </w:p>
        </w:tc>
      </w:tr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396 681,7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357 868,3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361 854,0</w:t>
            </w:r>
          </w:p>
        </w:tc>
      </w:tr>
      <w:tr w:rsidR="00D26B30" w:rsidTr="003D0AA1">
        <w:tc>
          <w:tcPr>
            <w:tcW w:w="2640" w:type="dxa"/>
          </w:tcPr>
          <w:p w:rsidR="00D26B30" w:rsidRPr="00604CF6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4CF6">
              <w:rPr>
                <w:rFonts w:ascii="Times New Roman" w:hAnsi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2641" w:type="dxa"/>
          </w:tcPr>
          <w:p w:rsidR="00D26B30" w:rsidRPr="00604CF6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1 826 663,3</w:t>
            </w:r>
          </w:p>
        </w:tc>
        <w:tc>
          <w:tcPr>
            <w:tcW w:w="2641" w:type="dxa"/>
          </w:tcPr>
          <w:p w:rsidR="00D26B30" w:rsidRPr="00604CF6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1 785 776,7</w:t>
            </w:r>
          </w:p>
        </w:tc>
        <w:tc>
          <w:tcPr>
            <w:tcW w:w="2641" w:type="dxa"/>
          </w:tcPr>
          <w:p w:rsidR="00D26B30" w:rsidRPr="00604CF6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1 792 495,3</w:t>
            </w:r>
          </w:p>
        </w:tc>
      </w:tr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117 032,2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118 761,5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120 364,5</w:t>
            </w:r>
          </w:p>
        </w:tc>
      </w:tr>
      <w:tr w:rsidR="00D26B30" w:rsidTr="003D0AA1">
        <w:tc>
          <w:tcPr>
            <w:tcW w:w="2640" w:type="dxa"/>
          </w:tcPr>
          <w:p w:rsidR="00D26B30" w:rsidRDefault="00D26B30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1 943 695,5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1 904 538,2</w:t>
            </w:r>
          </w:p>
        </w:tc>
        <w:tc>
          <w:tcPr>
            <w:tcW w:w="2641" w:type="dxa"/>
          </w:tcPr>
          <w:p w:rsidR="00D26B30" w:rsidRDefault="00217D37" w:rsidP="003D0AA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1 912 859,8</w:t>
            </w:r>
          </w:p>
        </w:tc>
      </w:tr>
    </w:tbl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3. </w:t>
      </w:r>
      <w:r>
        <w:rPr>
          <w:rFonts w:ascii="PT Astra Serif" w:hAnsi="PT Astra Serif" w:cs="Times New Roman"/>
          <w:sz w:val="24"/>
          <w:szCs w:val="24"/>
        </w:rPr>
        <w:t>Изменение формулировки и значения целевого показателя 1</w:t>
      </w:r>
      <w:r w:rsidR="00591F8D">
        <w:rPr>
          <w:rFonts w:ascii="PT Astra Serif" w:hAnsi="PT Astra Serif" w:cs="Times New Roman"/>
          <w:sz w:val="24"/>
          <w:szCs w:val="24"/>
        </w:rPr>
        <w:t>, значение целевого показателя 5 (в связи с изменением показателей и расчетного перечня региональных проектов «Современная школа» и «Успех каждого ребенка» национального проекта «Образование»).</w:t>
      </w:r>
    </w:p>
    <w:p w:rsidR="00591F8D" w:rsidRDefault="00591F8D" w:rsidP="00D26B3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4. Утратили силу целевые показатели 3,4,6,8,10,11,12,13.</w:t>
      </w:r>
    </w:p>
    <w:p w:rsidR="00591F8D" w:rsidRDefault="00591F8D" w:rsidP="00D26B3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5. </w:t>
      </w:r>
      <w:proofErr w:type="gramStart"/>
      <w:r>
        <w:rPr>
          <w:rFonts w:ascii="PT Astra Serif" w:hAnsi="PT Astra Serif" w:cs="Times New Roman"/>
          <w:sz w:val="24"/>
          <w:szCs w:val="24"/>
        </w:rPr>
        <w:t>Добавлен целевой показатель «Доля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среды».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                                                                                     Л.Г. Балуева  </w:t>
      </w:r>
    </w:p>
    <w:p w:rsidR="00D26B30" w:rsidRDefault="00D26B30" w:rsidP="00D26B30"/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08"/>
    <w:rsid w:val="00217D37"/>
    <w:rsid w:val="00245C47"/>
    <w:rsid w:val="00396208"/>
    <w:rsid w:val="00591F8D"/>
    <w:rsid w:val="006F0950"/>
    <w:rsid w:val="00896AF2"/>
    <w:rsid w:val="00D2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2021-11-12T07:36:00Z</dcterms:created>
  <dcterms:modified xsi:type="dcterms:W3CDTF">2021-11-12T10:20:00Z</dcterms:modified>
</cp:coreProperties>
</file>