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6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680"/>
        <w:gridCol w:w="2829"/>
        <w:gridCol w:w="1709"/>
        <w:gridCol w:w="1086"/>
        <w:gridCol w:w="2182"/>
        <w:gridCol w:w="2978"/>
        <w:gridCol w:w="705"/>
        <w:gridCol w:w="303"/>
        <w:gridCol w:w="245"/>
        <w:gridCol w:w="166"/>
        <w:gridCol w:w="72"/>
        <w:gridCol w:w="245"/>
        <w:gridCol w:w="391"/>
        <w:gridCol w:w="248"/>
        <w:gridCol w:w="590"/>
        <w:gridCol w:w="248"/>
        <w:gridCol w:w="600"/>
        <w:gridCol w:w="248"/>
        <w:gridCol w:w="600"/>
        <w:gridCol w:w="186"/>
      </w:tblGrid>
      <w:tr w:rsidR="001E58E3" w:rsidRPr="00692EAE" w:rsidTr="00AF1F4A">
        <w:trPr>
          <w:gridAfter w:val="1"/>
          <w:wAfter w:w="57" w:type="pct"/>
          <w:trHeight w:val="315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1E58E3" w:rsidRDefault="001E58E3" w:rsidP="007B5CC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F1F4A" w:rsidRPr="00692EAE" w:rsidRDefault="00AF1F4A" w:rsidP="007B5C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309" w:type="pct"/>
            <w:gridSpan w:val="2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1120" w:type="pct"/>
            <w:gridSpan w:val="11"/>
            <w:shd w:val="clear" w:color="auto" w:fill="auto"/>
            <w:noWrap/>
            <w:vAlign w:val="center"/>
            <w:hideMark/>
          </w:tcPr>
          <w:p w:rsidR="001E58E3" w:rsidRPr="001E58E3" w:rsidRDefault="001E58E3" w:rsidP="007B5CC0">
            <w:pPr>
              <w:jc w:val="right"/>
              <w:rPr>
                <w:b/>
                <w:sz w:val="24"/>
                <w:szCs w:val="24"/>
              </w:rPr>
            </w:pPr>
            <w:r w:rsidRPr="001E58E3">
              <w:rPr>
                <w:b/>
                <w:sz w:val="24"/>
                <w:szCs w:val="24"/>
              </w:rPr>
              <w:t xml:space="preserve">Приложение 1 </w:t>
            </w:r>
          </w:p>
        </w:tc>
      </w:tr>
      <w:tr w:rsidR="00AF1F4A" w:rsidRPr="00692EAE" w:rsidTr="00AF1F4A">
        <w:trPr>
          <w:gridAfter w:val="1"/>
          <w:wAfter w:w="57" w:type="pct"/>
          <w:trHeight w:val="315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AF1F4A" w:rsidRPr="00692EAE" w:rsidRDefault="00AF1F4A" w:rsidP="007B5C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F1F4A" w:rsidRPr="00692EAE" w:rsidRDefault="00AF1F4A" w:rsidP="007B5CC0">
            <w:pPr>
              <w:jc w:val="center"/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F1F4A" w:rsidRPr="00692EAE" w:rsidRDefault="00AF1F4A" w:rsidP="007B5CC0"/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AF1F4A" w:rsidRPr="00692EAE" w:rsidRDefault="00AF1F4A" w:rsidP="007B5CC0"/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F1F4A" w:rsidRPr="00692EAE" w:rsidRDefault="00AF1F4A" w:rsidP="007B5CC0">
            <w:pPr>
              <w:jc w:val="center"/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AF1F4A" w:rsidRPr="00692EAE" w:rsidRDefault="00AF1F4A" w:rsidP="007B5CC0"/>
        </w:tc>
        <w:tc>
          <w:tcPr>
            <w:tcW w:w="1429" w:type="pct"/>
            <w:gridSpan w:val="13"/>
            <w:shd w:val="clear" w:color="auto" w:fill="auto"/>
            <w:noWrap/>
            <w:vAlign w:val="center"/>
            <w:hideMark/>
          </w:tcPr>
          <w:p w:rsidR="00AF1F4A" w:rsidRPr="001E58E3" w:rsidRDefault="00AF1F4A" w:rsidP="00AF1F4A">
            <w:pPr>
              <w:jc w:val="right"/>
              <w:rPr>
                <w:b/>
                <w:sz w:val="24"/>
                <w:szCs w:val="24"/>
              </w:rPr>
            </w:pPr>
            <w:r w:rsidRPr="001E58E3">
              <w:rPr>
                <w:b/>
                <w:sz w:val="24"/>
                <w:szCs w:val="24"/>
              </w:rPr>
              <w:t>к постановлению администрации города Югорска</w:t>
            </w:r>
          </w:p>
        </w:tc>
      </w:tr>
      <w:tr w:rsidR="001E58E3" w:rsidRPr="00692EAE" w:rsidTr="00AF1F4A">
        <w:trPr>
          <w:gridAfter w:val="1"/>
          <w:wAfter w:w="57" w:type="pct"/>
          <w:trHeight w:val="315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309" w:type="pct"/>
            <w:gridSpan w:val="2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1120" w:type="pct"/>
            <w:gridSpan w:val="11"/>
            <w:shd w:val="clear" w:color="auto" w:fill="auto"/>
            <w:noWrap/>
            <w:vAlign w:val="center"/>
            <w:hideMark/>
          </w:tcPr>
          <w:p w:rsidR="001E58E3" w:rsidRPr="00692EAE" w:rsidRDefault="001E58E3" w:rsidP="001E58E3">
            <w:pPr>
              <w:jc w:val="right"/>
              <w:rPr>
                <w:sz w:val="24"/>
                <w:szCs w:val="24"/>
              </w:rPr>
            </w:pPr>
            <w:r w:rsidRPr="001E58E3">
              <w:rPr>
                <w:b/>
                <w:sz w:val="24"/>
                <w:szCs w:val="24"/>
              </w:rPr>
              <w:t>от</w:t>
            </w:r>
            <w:r w:rsidRPr="00692EA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17 января 2019 года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E58E3">
              <w:rPr>
                <w:b/>
                <w:sz w:val="24"/>
                <w:szCs w:val="24"/>
              </w:rPr>
              <w:t>№</w:t>
            </w:r>
            <w:r w:rsidRPr="00692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93</w:t>
            </w:r>
          </w:p>
        </w:tc>
      </w:tr>
      <w:tr w:rsidR="001E58E3" w:rsidRPr="00692EAE" w:rsidTr="00AF1F4A">
        <w:trPr>
          <w:trHeight w:val="315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309" w:type="pct"/>
            <w:gridSpan w:val="2"/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196" w:type="pct"/>
            <w:gridSpan w:val="2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</w:tr>
      <w:tr w:rsidR="001E58E3" w:rsidRPr="00692EAE" w:rsidTr="00AF1F4A">
        <w:trPr>
          <w:gridAfter w:val="1"/>
          <w:wAfter w:w="57" w:type="pct"/>
          <w:trHeight w:val="375"/>
        </w:trPr>
        <w:tc>
          <w:tcPr>
            <w:tcW w:w="494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E3" w:rsidRPr="00692EAE" w:rsidRDefault="001E58E3" w:rsidP="007B5CC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AE">
              <w:rPr>
                <w:b/>
                <w:bCs/>
                <w:sz w:val="28"/>
                <w:szCs w:val="28"/>
              </w:rPr>
              <w:t>План мероприятий по росту доходов, оптимизации расходов бюджета города Югорска</w:t>
            </w:r>
          </w:p>
        </w:tc>
      </w:tr>
      <w:tr w:rsidR="001E58E3" w:rsidRPr="00692EAE" w:rsidTr="00AF1F4A">
        <w:trPr>
          <w:gridAfter w:val="1"/>
          <w:wAfter w:w="57" w:type="pct"/>
          <w:trHeight w:val="375"/>
        </w:trPr>
        <w:tc>
          <w:tcPr>
            <w:tcW w:w="494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E3" w:rsidRPr="00692EAE" w:rsidRDefault="001E58E3" w:rsidP="007B5CC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AE">
              <w:rPr>
                <w:b/>
                <w:bCs/>
                <w:sz w:val="28"/>
                <w:szCs w:val="28"/>
              </w:rPr>
              <w:t xml:space="preserve">и сокращению муниципального долга на 2019 год и на плановый период 2020 и 2021 годов </w:t>
            </w:r>
          </w:p>
        </w:tc>
      </w:tr>
      <w:tr w:rsidR="001E58E3" w:rsidRPr="00692EAE" w:rsidTr="00AF1F4A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8E3" w:rsidRPr="00692EAE" w:rsidRDefault="001E58E3" w:rsidP="007B5CC0">
            <w:pPr>
              <w:jc w:val="center"/>
            </w:pPr>
          </w:p>
        </w:tc>
      </w:tr>
      <w:tr w:rsidR="001E58E3" w:rsidRPr="001E58E3" w:rsidTr="00AF1F4A">
        <w:trPr>
          <w:gridAfter w:val="1"/>
          <w:wAfter w:w="57" w:type="pct"/>
          <w:trHeight w:val="7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№ п/п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Наименование мероприятия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Ответственный исполнитель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Нормативно - правовой акт или иной документ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Целевой показатель</w:t>
            </w:r>
          </w:p>
        </w:tc>
        <w:tc>
          <w:tcPr>
            <w:tcW w:w="6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Значение целевого показателя</w:t>
            </w:r>
          </w:p>
        </w:tc>
        <w:tc>
          <w:tcPr>
            <w:tcW w:w="7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Бюджетный  эффект от реализации мероприятий                                                    (тыс. рублей)</w:t>
            </w:r>
          </w:p>
        </w:tc>
      </w:tr>
      <w:tr w:rsidR="001E58E3" w:rsidRPr="001E58E3" w:rsidTr="00AF1F4A">
        <w:trPr>
          <w:gridAfter w:val="1"/>
          <w:wAfter w:w="57" w:type="pct"/>
          <w:trHeight w:val="315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2019 год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2020 год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2021 год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2019 год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2020 год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2021 год</w:t>
            </w:r>
          </w:p>
        </w:tc>
      </w:tr>
      <w:tr w:rsidR="001E58E3" w:rsidRPr="001E58E3" w:rsidTr="00AF1F4A">
        <w:trPr>
          <w:gridAfter w:val="1"/>
          <w:wAfter w:w="57" w:type="pct"/>
          <w:trHeight w:val="600"/>
        </w:trPr>
        <w:tc>
          <w:tcPr>
            <w:tcW w:w="49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 xml:space="preserve">1. Мероприятия по росту доходов бюджета муниципального образования город </w:t>
            </w:r>
            <w:proofErr w:type="spellStart"/>
            <w:r w:rsidRPr="001E58E3">
              <w:rPr>
                <w:b/>
                <w:bCs/>
                <w:szCs w:val="22"/>
              </w:rPr>
              <w:t>Югорск</w:t>
            </w:r>
            <w:proofErr w:type="spellEnd"/>
          </w:p>
        </w:tc>
      </w:tr>
      <w:tr w:rsidR="001E58E3" w:rsidRPr="001E58E3" w:rsidTr="00AF1F4A">
        <w:trPr>
          <w:gridAfter w:val="1"/>
          <w:wAfter w:w="57" w:type="pct"/>
          <w:trHeight w:val="15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1.1.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Пересмотр налоговых ставок по земельному налогу в сторону увеличения по отдельным видам разрешенного использования земель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ежегодно до  1 сентября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 решения Думы города Югорска "О внесении изменений в решение Думы города Югорска от 22.11.2004 № 648 "О земельном налоге"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увеличение поступлений земельного налога по отдельным видам разрешенного использования земель,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1,0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100,0</w:t>
            </w:r>
          </w:p>
        </w:tc>
      </w:tr>
      <w:tr w:rsidR="001E58E3" w:rsidRPr="001E58E3" w:rsidTr="00AF1F4A">
        <w:trPr>
          <w:gridAfter w:val="1"/>
          <w:wAfter w:w="57" w:type="pct"/>
          <w:trHeight w:val="15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1.2.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Пересмотр налоговых льгот по земельному налогу в сторону снижения по отдельным категориям налогоплательщиков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ежегодно до  1 сентября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 решения Думы города Югорска "О внесении изменений в решение Думы города Югорска от 22.11.2004 № 648 "О земельном налоге"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увеличение поступлений к предыдущему периоду земельного налога,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0,2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</w:tr>
      <w:tr w:rsidR="001E58E3" w:rsidRPr="001E58E3" w:rsidTr="00AF1F4A">
        <w:trPr>
          <w:gridAfter w:val="1"/>
          <w:wAfter w:w="57" w:type="pct"/>
          <w:trHeight w:val="18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1.3.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Внесение изменения в прогнозный перечень муниципального имущества, подлежащего приватизации в 2019 - 2021 годах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ежегодно до 1 августа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 решения Думы города Югорска "О внесении изменений в прогнозный перечень имущества, подлежащего приватизации в 2019-2021 годах"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отношение стоимости имущества, планируемого к внесению в Перечень, к стоимости имущества, фактически включенного в Перечень,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40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400,0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200,0</w:t>
            </w:r>
          </w:p>
        </w:tc>
      </w:tr>
      <w:tr w:rsidR="001E58E3" w:rsidRPr="001E58E3" w:rsidTr="00AF1F4A">
        <w:trPr>
          <w:gridAfter w:val="1"/>
          <w:wAfter w:w="57" w:type="pct"/>
          <w:trHeight w:val="268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Индексация арендной платы за пользование муниципальным имуществом на размер уровня инфляции, установленный федеральным законом о федеральном бюджете на очередной финансовый год и плановый период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до  1 января 2019 года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 постановления администрации города "Об утверждении Порядка определения величины арендной платы"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отношение дополнительно поступивших доходов  в бюджет города Югорска в виде арендной платы за пользование муниципальным имуществом к плановому показателю по доходам  в виде арендной платы за пользование муниципальным имуществом, %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110,0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110,0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110,0</w:t>
            </w:r>
          </w:p>
        </w:tc>
      </w:tr>
      <w:tr w:rsidR="001E58E3" w:rsidRPr="001E58E3" w:rsidTr="00AF1F4A">
        <w:trPr>
          <w:gridAfter w:val="1"/>
          <w:wAfter w:w="57" w:type="pct"/>
          <w:trHeight w:val="31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1.5.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Ежегодная индексация размера арендной платы за использование земельных участков (за исключением  земель населенных пунктов), государственная собственность на которые не разграничена, на размер уровня инфляции, установленного в федеральном законе о федеральном бюджете на очередной финансовый год и плановый период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ежегодно до 11 декабря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отношение дополнительно поступивших доходов  в бюджет города Югорска в виде арендной платы за пользование земельными участками к плановому показателю по доходам  в виде арендной платы за пользование земельными участками,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1,8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1,8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900,0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800,0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700,0</w:t>
            </w:r>
          </w:p>
        </w:tc>
      </w:tr>
      <w:tr w:rsidR="001E58E3" w:rsidRPr="001E58E3" w:rsidTr="00AF1F4A">
        <w:trPr>
          <w:gridAfter w:val="1"/>
          <w:wAfter w:w="57" w:type="pct"/>
          <w:trHeight w:val="40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1.6.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Перечисление в бюджет города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расходов, на реализацию мероприятий по развитию предприятий, не менее 25%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ежегодно до 1 июня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 постановления администрации города "О размере прибыли муниципального унитарного предприятия, подлежащей перечислению в бюджет города Югорска"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отношение дополнительно поступивших в бюджет доходов в виде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расходов на реализацию мероприятий по развитию предприятий  к плановому показателю доходов в виде части прибыли муниципальных унитарных предприятий, утвержденному решением о бюджете города на соответствующий год,</w:t>
            </w:r>
            <w:r>
              <w:rPr>
                <w:szCs w:val="22"/>
              </w:rPr>
              <w:t xml:space="preserve"> </w:t>
            </w:r>
            <w:r w:rsidRPr="001E58E3">
              <w:rPr>
                <w:szCs w:val="22"/>
              </w:rPr>
              <w:t>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-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-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1,0</w:t>
            </w:r>
          </w:p>
        </w:tc>
      </w:tr>
      <w:tr w:rsidR="001E58E3" w:rsidRPr="001E58E3" w:rsidTr="00AF1F4A">
        <w:trPr>
          <w:gridAfter w:val="1"/>
          <w:wAfter w:w="57" w:type="pct"/>
          <w:trHeight w:val="29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1.7.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Исходить из необходимости направления акционерными обществами, акции которых находятся в муниципальной собственности, дивидендов не менее 35%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ежегодно до 1 июня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Решения общих собраний акционеров по итогам финансово-хозяйственной деятельности акционерного общества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отношение дополнительно поступивших в бюджет доходов в виде дивидендов акционерных обществ, акции которых находятся в муниципальной собственности города Югорска (</w:t>
            </w:r>
            <w:proofErr w:type="spellStart"/>
            <w:r w:rsidRPr="001E58E3">
              <w:rPr>
                <w:szCs w:val="22"/>
              </w:rPr>
              <w:t>ДАОдоп</w:t>
            </w:r>
            <w:proofErr w:type="spellEnd"/>
            <w:r w:rsidRPr="001E58E3">
              <w:rPr>
                <w:szCs w:val="22"/>
              </w:rPr>
              <w:t>) к плановому показателю по доходам в виде дивидендов акционерных обществ, утвержденному решением о бюджете города на соответствующий год, %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50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5,0</w:t>
            </w:r>
          </w:p>
        </w:tc>
      </w:tr>
      <w:tr w:rsidR="001E58E3" w:rsidRPr="001E58E3" w:rsidTr="00AF1F4A">
        <w:trPr>
          <w:gridAfter w:val="1"/>
          <w:wAfter w:w="57" w:type="pct"/>
          <w:trHeight w:val="22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1.8.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Проведение мероприятий, направленных:</w:t>
            </w:r>
            <w:r w:rsidRPr="001E58E3">
              <w:rPr>
                <w:szCs w:val="22"/>
              </w:rPr>
              <w:br/>
              <w:t>- на формирование положительного общественного мнения о малом и среднем предпринимательстве. в целях стимулирования   граждан к осуществлению такой деятельности;</w:t>
            </w:r>
            <w:r w:rsidRPr="001E58E3">
              <w:rPr>
                <w:szCs w:val="22"/>
              </w:rPr>
              <w:br/>
              <w:t>- на совершенствование механизмов поддержки предпринимательства в целях поступления в запланированных объемах налогов на совокупный доход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увеличение поступлений по налогам на совокупный доход,%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900,0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950,0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950,0</w:t>
            </w:r>
          </w:p>
        </w:tc>
      </w:tr>
      <w:tr w:rsidR="001E58E3" w:rsidRPr="001E58E3" w:rsidTr="00AF1F4A">
        <w:trPr>
          <w:gridAfter w:val="1"/>
          <w:wAfter w:w="57" w:type="pct"/>
          <w:trHeight w:val="25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1.9.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Продажа (выкуп) жилых помещений, занимаемых по договорам найма жилищного фонда коммерческого использования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Югорска,</w:t>
            </w:r>
            <w:r w:rsidRPr="001E58E3">
              <w:rPr>
                <w:szCs w:val="22"/>
              </w:rPr>
              <w:br/>
              <w:t>Управление жилищной политики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Решение Думы города Югорска от 26.02.2015 № 8 "Об утверждении Положения о порядке продажи (выкупа) жилых помещений муниципального жилищного фонда" (с изменениями от 24.11.2016 № 104)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количество жилых помещений, предполагаемых к выкупу, единиц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6 000,0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6 000,0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6 000,0</w:t>
            </w:r>
          </w:p>
        </w:tc>
      </w:tr>
      <w:tr w:rsidR="001E58E3" w:rsidRPr="001E58E3" w:rsidTr="00AF1F4A">
        <w:trPr>
          <w:gridAfter w:val="1"/>
          <w:wAfter w:w="57" w:type="pct"/>
          <w:trHeight w:val="25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1.10.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Проведение мероприятий, направленных на выявление пользователей, использующих земельные участки и другое недвижимое имущество и привлечение их к налогообложению, содействие в оформлении прав собственности на земельные участки и имущество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соотношение дополнительно поступивших доходов г. Югорска в виде земельного налога с физических лиц и налога на имущество физических лиц к плановому показателю в виде земельного налога с физических лиц и налога на имущество физических лиц, %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26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1.11.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Принятие мер, направленных на обеспечение полного охвата  объектов недвижимого имущества, в отношении которых налоговая база определяется  как кадастровая стоимость в целях включения их  в перечень на очередной налоговый период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Югорска,</w:t>
            </w:r>
            <w:r w:rsidRPr="001E58E3">
              <w:rPr>
                <w:szCs w:val="22"/>
              </w:rPr>
              <w:br/>
              <w:t>Департамент экономического развития и проектного управления администрации города Югорска,</w:t>
            </w:r>
            <w:r w:rsidRPr="001E58E3">
              <w:rPr>
                <w:szCs w:val="22"/>
              </w:rPr>
              <w:br/>
              <w:t>Департамент финансов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соотношение дополнительно поступивших доходов г. Югорска в виде налога на имущество физических лиц к плановому показателю в виде налога на имущество физических лиц,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0,03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0,02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300,0</w:t>
            </w:r>
          </w:p>
        </w:tc>
      </w:tr>
      <w:tr w:rsidR="001E58E3" w:rsidRPr="001E58E3" w:rsidTr="00AF1F4A">
        <w:trPr>
          <w:gridAfter w:val="1"/>
          <w:wAfter w:w="57" w:type="pct"/>
          <w:trHeight w:val="176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1.12.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Организация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(согласно Приложению 2 к постановлению)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дополнительные поступления доходов в бюджет города Югорска по результатам проведенных мероприятий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х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х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х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ind w:left="-124" w:right="-105"/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16 300,0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ind w:left="-124" w:right="-105"/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16 500,0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ind w:left="-124" w:right="-105"/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16 800,0</w:t>
            </w:r>
          </w:p>
        </w:tc>
      </w:tr>
      <w:tr w:rsidR="001E58E3" w:rsidRPr="001E58E3" w:rsidTr="00AF1F4A">
        <w:trPr>
          <w:gridAfter w:val="1"/>
          <w:wAfter w:w="57" w:type="pct"/>
          <w:trHeight w:val="1800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Итого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доля дополнительных доходов от суммы налоговых и неналоговых доходов бюджета города,</w:t>
            </w:r>
            <w:r w:rsidR="00AB0BD9">
              <w:rPr>
                <w:b/>
                <w:bCs/>
                <w:szCs w:val="22"/>
              </w:rPr>
              <w:t xml:space="preserve"> </w:t>
            </w:r>
            <w:r w:rsidRPr="001E58E3">
              <w:rPr>
                <w:b/>
                <w:bCs/>
                <w:szCs w:val="22"/>
              </w:rPr>
              <w:t>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AB0BD9" w:rsidRDefault="001E58E3" w:rsidP="00AF1F4A">
            <w:pPr>
              <w:jc w:val="center"/>
              <w:rPr>
                <w:b/>
                <w:bCs/>
                <w:sz w:val="18"/>
                <w:szCs w:val="22"/>
              </w:rPr>
            </w:pPr>
            <w:r w:rsidRPr="00AB0BD9">
              <w:rPr>
                <w:b/>
                <w:bCs/>
                <w:sz w:val="18"/>
                <w:szCs w:val="22"/>
              </w:rPr>
              <w:t>не менее 1,9%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AB0BD9" w:rsidRDefault="001E58E3" w:rsidP="00AF1F4A">
            <w:pPr>
              <w:jc w:val="center"/>
              <w:rPr>
                <w:b/>
                <w:bCs/>
                <w:sz w:val="18"/>
                <w:szCs w:val="22"/>
              </w:rPr>
            </w:pPr>
            <w:r w:rsidRPr="00AB0BD9">
              <w:rPr>
                <w:b/>
                <w:bCs/>
                <w:sz w:val="18"/>
                <w:szCs w:val="22"/>
              </w:rPr>
              <w:t>не менее 1,9%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AB0BD9" w:rsidRDefault="001E58E3" w:rsidP="00AF1F4A">
            <w:pPr>
              <w:jc w:val="center"/>
              <w:rPr>
                <w:b/>
                <w:bCs/>
                <w:sz w:val="18"/>
                <w:szCs w:val="22"/>
              </w:rPr>
            </w:pPr>
            <w:r w:rsidRPr="00AB0BD9">
              <w:rPr>
                <w:b/>
                <w:bCs/>
                <w:sz w:val="18"/>
                <w:szCs w:val="22"/>
              </w:rPr>
              <w:t>не менее 1,9%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ind w:left="-124" w:right="-105"/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25 216,0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ind w:left="-111" w:right="-107"/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25 166,0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ind w:left="-111" w:right="-107"/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25 166,0</w:t>
            </w:r>
          </w:p>
        </w:tc>
      </w:tr>
      <w:tr w:rsidR="001E58E3" w:rsidRPr="001E58E3" w:rsidTr="00AF1F4A">
        <w:trPr>
          <w:gridAfter w:val="1"/>
          <w:wAfter w:w="57" w:type="pct"/>
          <w:trHeight w:val="645"/>
        </w:trPr>
        <w:tc>
          <w:tcPr>
            <w:tcW w:w="49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 xml:space="preserve">2. Мероприятия по оптимизации расходов бюджета муниципального образования город </w:t>
            </w:r>
            <w:proofErr w:type="spellStart"/>
            <w:r w:rsidRPr="001E58E3">
              <w:rPr>
                <w:b/>
                <w:bCs/>
                <w:szCs w:val="22"/>
              </w:rPr>
              <w:t>Югорск</w:t>
            </w:r>
            <w:proofErr w:type="spellEnd"/>
          </w:p>
        </w:tc>
      </w:tr>
      <w:tr w:rsidR="001E58E3" w:rsidRPr="001E58E3" w:rsidTr="00AF1F4A">
        <w:trPr>
          <w:gridAfter w:val="1"/>
          <w:wAfter w:w="57" w:type="pct"/>
          <w:trHeight w:val="1129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2.1.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Сокращение расходов на содержание муниципальных учреждений города Югорска, в том числе за счет: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Ответственные исполнители 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 xml:space="preserve">доля оптимизированных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1E58E3">
              <w:rPr>
                <w:szCs w:val="22"/>
              </w:rPr>
              <w:t>софинансирование</w:t>
            </w:r>
            <w:proofErr w:type="spellEnd"/>
            <w:r w:rsidRPr="001E58E3">
              <w:rPr>
                <w:szCs w:val="22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0,1</w:t>
            </w:r>
          </w:p>
        </w:tc>
        <w:tc>
          <w:tcPr>
            <w:tcW w:w="2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0,1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0,1</w:t>
            </w: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1 300,0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800,0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700,0</w:t>
            </w:r>
          </w:p>
        </w:tc>
      </w:tr>
      <w:tr w:rsidR="001E58E3" w:rsidRPr="001E58E3" w:rsidTr="00AF1F4A">
        <w:trPr>
          <w:gridAfter w:val="1"/>
          <w:wAfter w:w="57" w:type="pct"/>
          <w:trHeight w:val="1129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а) оптимизации штатной численности работников;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1129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б) реализации энергосберегающих мероприятий;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1129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в) повышения эффективности расходов на содержание учреждений, использования зданий, находящихся в оперативном управлении;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1163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г) сокращения расходов на приобретение сувенирной продукции, на служебные командировки, на проведение мероприятий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1831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Повышение  эффективности муниципальных закупок и оптимизация расходов капитального характера, в том числе за счет: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Ответственные исполнители 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 xml:space="preserve">доля оптимизированных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1E58E3">
              <w:rPr>
                <w:szCs w:val="22"/>
              </w:rPr>
              <w:t>софинансирование</w:t>
            </w:r>
            <w:proofErr w:type="spellEnd"/>
            <w:r w:rsidRPr="001E58E3">
              <w:rPr>
                <w:szCs w:val="22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0,4</w:t>
            </w:r>
          </w:p>
        </w:tc>
        <w:tc>
          <w:tcPr>
            <w:tcW w:w="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5 000,0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4 000,0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4 000,0</w:t>
            </w:r>
          </w:p>
        </w:tc>
      </w:tr>
      <w:tr w:rsidR="001E58E3" w:rsidRPr="001E58E3" w:rsidTr="00AF1F4A">
        <w:trPr>
          <w:gridAfter w:val="1"/>
          <w:wAfter w:w="57" w:type="pct"/>
          <w:trHeight w:val="1969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а) обоснованности закупок, начальных (максимальных) цен контрактов, комплектности приобретения товара, его технических характеристик;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1828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б) стремления к экономии в ходе закупочных процедур при условии соблюдения качества и требований законодательства;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2687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в) первоочередного направления средств на завершение строительства (реконструкцию) объектов капитального строительства, на капитальные затраты, способствующие снижению текущих затрат в среднесрочной перспективе;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1266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г) сокращения случаев авансирования капитальных расходов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</w:tr>
      <w:tr w:rsidR="001E58E3" w:rsidRPr="001E58E3" w:rsidTr="00AF1F4A">
        <w:trPr>
          <w:gridAfter w:val="1"/>
          <w:wAfter w:w="57" w:type="pct"/>
          <w:trHeight w:val="566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2.3.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Проведение инвентаризации расходных обязательств города Югорска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Ответственные исполнители 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 xml:space="preserve">доля оптимизированных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1E58E3">
              <w:rPr>
                <w:szCs w:val="22"/>
              </w:rPr>
              <w:t>софинансирование</w:t>
            </w:r>
            <w:proofErr w:type="spellEnd"/>
            <w:r w:rsidRPr="001E58E3">
              <w:rPr>
                <w:szCs w:val="22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1 057,5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3 507,5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3 450,0</w:t>
            </w:r>
          </w:p>
        </w:tc>
      </w:tr>
      <w:tr w:rsidR="001E58E3" w:rsidRPr="001E58E3" w:rsidTr="00AF1F4A">
        <w:trPr>
          <w:gridAfter w:val="1"/>
          <w:wAfter w:w="57" w:type="pct"/>
          <w:trHeight w:val="78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2.4.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Привлечение средств от приносящей доход деятельности на обеспечение текущей деятельности бюджетных и автономных учреждений города Югорска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Проекты постановлений администрации города Югорска о внесении изменений в соответствующие муниципальные программы города Югорска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ежегодный прирост объема платных услуг,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300,0</w:t>
            </w:r>
          </w:p>
        </w:tc>
      </w:tr>
      <w:tr w:rsidR="001E58E3" w:rsidRPr="001E58E3" w:rsidTr="00AF1F4A">
        <w:trPr>
          <w:gridAfter w:val="1"/>
          <w:wAfter w:w="57" w:type="pct"/>
          <w:trHeight w:val="63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Управление культуры администрации города Югорска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ежегодный прирост объема платных услуг,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0,2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0,2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250,0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250,0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250,0</w:t>
            </w:r>
          </w:p>
        </w:tc>
      </w:tr>
      <w:tr w:rsidR="001E58E3" w:rsidRPr="001E58E3" w:rsidTr="00AF1F4A">
        <w:trPr>
          <w:gridAfter w:val="1"/>
          <w:wAfter w:w="57" w:type="pct"/>
          <w:trHeight w:val="1272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ежегодный прирост объема платных услуг,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130,0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130,0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130,0</w:t>
            </w:r>
          </w:p>
        </w:tc>
      </w:tr>
      <w:tr w:rsidR="001E58E3" w:rsidRPr="001E58E3" w:rsidTr="00AF1F4A">
        <w:trPr>
          <w:gridAfter w:val="1"/>
          <w:wAfter w:w="57" w:type="pct"/>
          <w:trHeight w:val="63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Управление  социальной политики администрации города Югорска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ежегодный прирост объема платных услуг,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2,5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3,0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3,5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2 000,0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3 000,0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4 000,0</w:t>
            </w:r>
          </w:p>
        </w:tc>
      </w:tr>
      <w:tr w:rsidR="001E58E3" w:rsidRPr="001E58E3" w:rsidTr="00AF1F4A">
        <w:trPr>
          <w:gridAfter w:val="1"/>
          <w:wAfter w:w="57" w:type="pct"/>
          <w:trHeight w:val="16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2.5.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Реализация проектов инициативного бюджетирования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 xml:space="preserve">Департамент </w:t>
            </w:r>
            <w:proofErr w:type="spellStart"/>
            <w:r w:rsidRPr="001E58E3">
              <w:rPr>
                <w:szCs w:val="22"/>
              </w:rPr>
              <w:t>жилищно</w:t>
            </w:r>
            <w:proofErr w:type="spellEnd"/>
            <w:r w:rsidRPr="001E58E3">
              <w:rPr>
                <w:szCs w:val="22"/>
              </w:rPr>
              <w:t xml:space="preserve"> - коммунального и строительного комплекса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 xml:space="preserve">Муниципальный правовой акт, устанавливающий порядок реализации проектов инициативного бюджетирования в городе </w:t>
            </w:r>
            <w:proofErr w:type="spellStart"/>
            <w:r w:rsidRPr="001E58E3">
              <w:rPr>
                <w:szCs w:val="22"/>
              </w:rPr>
              <w:t>Югорске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количество проектов  инициативного бюджетирования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290,0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</w:tr>
      <w:tr w:rsidR="001E58E3" w:rsidRPr="001E58E3" w:rsidTr="00AF1F4A">
        <w:trPr>
          <w:gridAfter w:val="1"/>
          <w:wAfter w:w="57" w:type="pct"/>
          <w:trHeight w:val="5285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Итого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 xml:space="preserve">доля оптимизированных бюджетных ассигнований от общей суммы расходов бюджета города, за исключением расходов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1E58E3">
              <w:rPr>
                <w:b/>
                <w:bCs/>
                <w:szCs w:val="22"/>
              </w:rPr>
              <w:t>софинансирование</w:t>
            </w:r>
            <w:proofErr w:type="spellEnd"/>
            <w:r w:rsidRPr="001E58E3">
              <w:rPr>
                <w:b/>
                <w:bCs/>
                <w:szCs w:val="22"/>
              </w:rPr>
              <w:t xml:space="preserve">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AB0BD9" w:rsidRDefault="001E58E3" w:rsidP="00AF1F4A">
            <w:pPr>
              <w:jc w:val="center"/>
              <w:rPr>
                <w:b/>
                <w:bCs/>
                <w:sz w:val="18"/>
                <w:szCs w:val="22"/>
              </w:rPr>
            </w:pPr>
            <w:r w:rsidRPr="00AB0BD9">
              <w:rPr>
                <w:b/>
                <w:bCs/>
                <w:sz w:val="18"/>
                <w:szCs w:val="22"/>
              </w:rPr>
              <w:t>не менее 0,8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AB0BD9" w:rsidRDefault="001E58E3" w:rsidP="00AF1F4A">
            <w:pPr>
              <w:jc w:val="center"/>
              <w:rPr>
                <w:b/>
                <w:bCs/>
                <w:sz w:val="18"/>
                <w:szCs w:val="22"/>
              </w:rPr>
            </w:pPr>
            <w:r w:rsidRPr="00AB0BD9">
              <w:rPr>
                <w:b/>
                <w:bCs/>
                <w:sz w:val="18"/>
                <w:szCs w:val="22"/>
              </w:rPr>
              <w:t>не менее 0,9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AB0BD9" w:rsidRDefault="001E58E3" w:rsidP="00AF1F4A">
            <w:pPr>
              <w:jc w:val="center"/>
              <w:rPr>
                <w:b/>
                <w:bCs/>
                <w:sz w:val="18"/>
                <w:szCs w:val="22"/>
              </w:rPr>
            </w:pPr>
            <w:r w:rsidRPr="00AB0BD9">
              <w:rPr>
                <w:b/>
                <w:bCs/>
                <w:sz w:val="18"/>
                <w:szCs w:val="22"/>
              </w:rPr>
              <w:t>не менее 0,9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AF1F4A" w:rsidRDefault="001E58E3" w:rsidP="00AF1F4A">
            <w:pPr>
              <w:ind w:left="-124" w:right="-105"/>
              <w:jc w:val="center"/>
              <w:rPr>
                <w:b/>
                <w:bCs/>
                <w:sz w:val="18"/>
                <w:szCs w:val="22"/>
              </w:rPr>
            </w:pPr>
            <w:r w:rsidRPr="00AF1F4A">
              <w:rPr>
                <w:b/>
                <w:bCs/>
                <w:sz w:val="18"/>
                <w:szCs w:val="22"/>
              </w:rPr>
              <w:t>10 327,5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AF1F4A" w:rsidRDefault="001E58E3" w:rsidP="00AF1F4A">
            <w:pPr>
              <w:jc w:val="center"/>
              <w:rPr>
                <w:b/>
                <w:bCs/>
                <w:sz w:val="18"/>
                <w:szCs w:val="22"/>
              </w:rPr>
            </w:pPr>
            <w:r w:rsidRPr="00AF1F4A">
              <w:rPr>
                <w:b/>
                <w:bCs/>
                <w:sz w:val="18"/>
                <w:szCs w:val="22"/>
              </w:rPr>
              <w:t>11 987,5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AF1F4A" w:rsidRDefault="001E58E3" w:rsidP="00AF1F4A">
            <w:pPr>
              <w:jc w:val="center"/>
              <w:rPr>
                <w:b/>
                <w:bCs/>
                <w:sz w:val="18"/>
                <w:szCs w:val="22"/>
              </w:rPr>
            </w:pPr>
            <w:r w:rsidRPr="00AF1F4A">
              <w:rPr>
                <w:b/>
                <w:bCs/>
                <w:sz w:val="18"/>
                <w:szCs w:val="22"/>
              </w:rPr>
              <w:t>12 830,0</w:t>
            </w:r>
          </w:p>
        </w:tc>
      </w:tr>
      <w:tr w:rsidR="001E58E3" w:rsidRPr="001E58E3" w:rsidTr="00AF1F4A">
        <w:trPr>
          <w:gridAfter w:val="1"/>
          <w:wAfter w:w="57" w:type="pct"/>
          <w:trHeight w:val="315"/>
        </w:trPr>
        <w:tc>
          <w:tcPr>
            <w:tcW w:w="49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1E58E3" w:rsidRPr="001E58E3" w:rsidTr="00AF1F4A">
        <w:trPr>
          <w:gridAfter w:val="1"/>
          <w:wAfter w:w="57" w:type="pct"/>
          <w:trHeight w:val="27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3.1.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Установить значение показателя соотношения муниципального долга к доходам бюджета города без учета безвозмездных поступлений и (или) поступлений налоговых ходов по дополнительным нормативам отчислений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финансов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отношение муниципального долга к доходам бюджета города без учета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не более 30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не более 30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не более 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0,0</w:t>
            </w:r>
          </w:p>
        </w:tc>
      </w:tr>
      <w:tr w:rsidR="001E58E3" w:rsidRPr="001E58E3" w:rsidTr="00AF1F4A">
        <w:trPr>
          <w:gridAfter w:val="1"/>
          <w:wAfter w:w="57" w:type="pct"/>
          <w:trHeight w:val="26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3.2.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Установить предельный годовой объем расходов на обслуживание муниципального долга не более 5% от общего годового объема расходов бюджета города, за исключением расходов, осуществляемых за счет субвенций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Департамент финансов администрации города Югорска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2019-2021 годы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отношение годового объема расходов на обслуживание муниципального долга к общему годовому объему расходов бюджета города, за исключением расходов, осуществляемых за счет субвенций, 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не более 5%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не более 5%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не более 5%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1 500,0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1 000,0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szCs w:val="22"/>
              </w:rPr>
            </w:pPr>
            <w:r w:rsidRPr="001E58E3">
              <w:rPr>
                <w:szCs w:val="22"/>
              </w:rPr>
              <w:t>1 000,0</w:t>
            </w:r>
          </w:p>
        </w:tc>
      </w:tr>
      <w:tr w:rsidR="001E58E3" w:rsidRPr="001E58E3" w:rsidTr="00AF1F4A">
        <w:trPr>
          <w:gridAfter w:val="1"/>
          <w:wAfter w:w="57" w:type="pct"/>
          <w:trHeight w:val="495"/>
        </w:trPr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Итого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х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х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х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1 500,0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1 000,0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E3" w:rsidRPr="001E58E3" w:rsidRDefault="001E58E3" w:rsidP="00AF1F4A">
            <w:pPr>
              <w:jc w:val="center"/>
              <w:rPr>
                <w:b/>
                <w:bCs/>
                <w:szCs w:val="22"/>
              </w:rPr>
            </w:pPr>
            <w:r w:rsidRPr="001E58E3">
              <w:rPr>
                <w:b/>
                <w:bCs/>
                <w:szCs w:val="22"/>
              </w:rPr>
              <w:t>1 000,0</w:t>
            </w:r>
          </w:p>
        </w:tc>
      </w:tr>
    </w:tbl>
    <w:p w:rsidR="001E58E3" w:rsidRDefault="001E58E3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p w:rsidR="00AF1F4A" w:rsidRDefault="00AF1F4A" w:rsidP="001E58E3">
      <w:pPr>
        <w:tabs>
          <w:tab w:val="left" w:pos="12049"/>
          <w:tab w:val="left" w:pos="12191"/>
        </w:tabs>
      </w:pPr>
    </w:p>
    <w:tbl>
      <w:tblPr>
        <w:tblW w:w="5021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5702"/>
      </w:tblGrid>
      <w:tr w:rsidR="00AF1F4A" w:rsidRPr="00146D1E" w:rsidTr="00146D1E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AF1F4A" w:rsidRPr="00146D1E" w:rsidRDefault="00AF1F4A" w:rsidP="00AF1F4A">
            <w:pPr>
              <w:jc w:val="right"/>
              <w:rPr>
                <w:b/>
                <w:sz w:val="24"/>
                <w:szCs w:val="24"/>
              </w:rPr>
            </w:pPr>
            <w:r w:rsidRPr="00146D1E">
              <w:rPr>
                <w:b/>
                <w:sz w:val="24"/>
                <w:szCs w:val="24"/>
              </w:rPr>
              <w:t xml:space="preserve">Приложение 2 </w:t>
            </w:r>
          </w:p>
        </w:tc>
      </w:tr>
      <w:tr w:rsidR="00AF1F4A" w:rsidRPr="00146D1E" w:rsidTr="00146D1E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AF1F4A" w:rsidRPr="00146D1E" w:rsidRDefault="00AF1F4A" w:rsidP="007B5CC0">
            <w:pPr>
              <w:jc w:val="right"/>
              <w:rPr>
                <w:b/>
                <w:sz w:val="24"/>
                <w:szCs w:val="24"/>
              </w:rPr>
            </w:pPr>
            <w:r w:rsidRPr="00146D1E">
              <w:rPr>
                <w:b/>
                <w:sz w:val="24"/>
                <w:szCs w:val="24"/>
              </w:rPr>
              <w:t xml:space="preserve">к постановлению </w:t>
            </w:r>
          </w:p>
          <w:p w:rsidR="00AF1F4A" w:rsidRPr="00146D1E" w:rsidRDefault="00AF1F4A" w:rsidP="007B5CC0">
            <w:pPr>
              <w:jc w:val="right"/>
              <w:rPr>
                <w:b/>
                <w:sz w:val="24"/>
                <w:szCs w:val="24"/>
              </w:rPr>
            </w:pPr>
            <w:r w:rsidRPr="00146D1E">
              <w:rPr>
                <w:b/>
                <w:sz w:val="24"/>
                <w:szCs w:val="24"/>
              </w:rPr>
              <w:t>администрации города Югорска</w:t>
            </w:r>
          </w:p>
        </w:tc>
      </w:tr>
      <w:tr w:rsidR="00AF1F4A" w:rsidRPr="00146D1E" w:rsidTr="00146D1E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AF1F4A" w:rsidRPr="00146D1E" w:rsidRDefault="00AF1F4A" w:rsidP="007B5CC0">
            <w:pPr>
              <w:jc w:val="right"/>
              <w:rPr>
                <w:sz w:val="24"/>
                <w:szCs w:val="24"/>
              </w:rPr>
            </w:pPr>
            <w:r w:rsidRPr="00146D1E">
              <w:rPr>
                <w:b/>
                <w:sz w:val="24"/>
                <w:szCs w:val="24"/>
              </w:rPr>
              <w:t>от</w:t>
            </w:r>
            <w:r w:rsidRPr="00146D1E">
              <w:rPr>
                <w:sz w:val="24"/>
                <w:szCs w:val="24"/>
              </w:rPr>
              <w:t xml:space="preserve">  </w:t>
            </w:r>
            <w:r w:rsidRPr="00146D1E">
              <w:rPr>
                <w:sz w:val="24"/>
                <w:szCs w:val="24"/>
                <w:u w:val="single"/>
              </w:rPr>
              <w:t>17 января 2019 года</w:t>
            </w:r>
            <w:r w:rsidRPr="00146D1E">
              <w:rPr>
                <w:sz w:val="24"/>
                <w:szCs w:val="24"/>
                <w:lang w:val="en-US"/>
              </w:rPr>
              <w:t xml:space="preserve"> </w:t>
            </w:r>
            <w:r w:rsidRPr="00146D1E">
              <w:rPr>
                <w:b/>
                <w:sz w:val="24"/>
                <w:szCs w:val="24"/>
              </w:rPr>
              <w:t>№</w:t>
            </w:r>
            <w:r w:rsidRPr="00146D1E">
              <w:rPr>
                <w:sz w:val="24"/>
                <w:szCs w:val="24"/>
              </w:rPr>
              <w:t xml:space="preserve"> </w:t>
            </w:r>
            <w:r w:rsidRPr="00146D1E">
              <w:rPr>
                <w:sz w:val="24"/>
                <w:szCs w:val="24"/>
                <w:u w:val="single"/>
              </w:rPr>
              <w:t>93</w:t>
            </w:r>
          </w:p>
        </w:tc>
      </w:tr>
    </w:tbl>
    <w:p w:rsidR="00AF1F4A" w:rsidRPr="00146D1E" w:rsidRDefault="00AF1F4A" w:rsidP="00AF1F4A">
      <w:pPr>
        <w:jc w:val="right"/>
        <w:rPr>
          <w:sz w:val="24"/>
          <w:szCs w:val="24"/>
        </w:rPr>
      </w:pPr>
    </w:p>
    <w:p w:rsidR="00AF1F4A" w:rsidRPr="00146D1E" w:rsidRDefault="00AF1F4A" w:rsidP="00AF1F4A">
      <w:pPr>
        <w:jc w:val="center"/>
        <w:rPr>
          <w:b/>
          <w:sz w:val="24"/>
          <w:szCs w:val="24"/>
        </w:rPr>
      </w:pPr>
      <w:r w:rsidRPr="00146D1E">
        <w:rPr>
          <w:b/>
          <w:sz w:val="24"/>
          <w:szCs w:val="24"/>
        </w:rPr>
        <w:t xml:space="preserve">План </w:t>
      </w:r>
    </w:p>
    <w:p w:rsidR="00AF1F4A" w:rsidRPr="00146D1E" w:rsidRDefault="00AF1F4A" w:rsidP="00AF1F4A">
      <w:pPr>
        <w:jc w:val="center"/>
        <w:rPr>
          <w:b/>
          <w:sz w:val="24"/>
          <w:szCs w:val="24"/>
        </w:rPr>
      </w:pPr>
      <w:r w:rsidRPr="00146D1E">
        <w:rPr>
          <w:b/>
          <w:sz w:val="24"/>
          <w:szCs w:val="24"/>
        </w:rPr>
        <w:t xml:space="preserve">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</w:t>
      </w:r>
    </w:p>
    <w:p w:rsidR="00AF1F4A" w:rsidRPr="00146D1E" w:rsidRDefault="00AF1F4A" w:rsidP="00AF1F4A">
      <w:pPr>
        <w:jc w:val="center"/>
        <w:rPr>
          <w:b/>
          <w:sz w:val="24"/>
          <w:szCs w:val="24"/>
        </w:rPr>
      </w:pPr>
      <w:r w:rsidRPr="00146D1E">
        <w:rPr>
          <w:b/>
          <w:sz w:val="24"/>
          <w:szCs w:val="24"/>
        </w:rPr>
        <w:t xml:space="preserve">на 2019 год и на плановый период 2020 и 2021 годов   </w:t>
      </w:r>
    </w:p>
    <w:p w:rsidR="00AF1F4A" w:rsidRPr="00146D1E" w:rsidRDefault="00AF1F4A" w:rsidP="00AF1F4A">
      <w:pPr>
        <w:jc w:val="center"/>
        <w:rPr>
          <w:sz w:val="24"/>
          <w:szCs w:val="24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5540"/>
        <w:gridCol w:w="4121"/>
        <w:gridCol w:w="1635"/>
        <w:gridCol w:w="3688"/>
      </w:tblGrid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ind w:left="-57" w:right="-199" w:hanging="550"/>
              <w:jc w:val="center"/>
              <w:rPr>
                <w:sz w:val="22"/>
                <w:szCs w:val="24"/>
              </w:rPr>
            </w:pPr>
            <w:bookmarkStart w:id="1" w:name="OLE_LINK2"/>
            <w:bookmarkStart w:id="2" w:name="OLE_LINK1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b/>
                <w:sz w:val="22"/>
                <w:szCs w:val="24"/>
              </w:rPr>
            </w:pPr>
            <w:r w:rsidRPr="00146D1E">
              <w:rPr>
                <w:b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b/>
                <w:sz w:val="22"/>
                <w:szCs w:val="24"/>
              </w:rPr>
            </w:pPr>
            <w:r w:rsidRPr="00146D1E">
              <w:rPr>
                <w:b/>
                <w:sz w:val="22"/>
                <w:szCs w:val="24"/>
              </w:rPr>
              <w:t>Результат реализации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b/>
                <w:sz w:val="22"/>
                <w:szCs w:val="24"/>
              </w:rPr>
            </w:pPr>
            <w:r w:rsidRPr="00146D1E">
              <w:rPr>
                <w:b/>
                <w:sz w:val="22"/>
                <w:szCs w:val="24"/>
              </w:rPr>
              <w:t>Срок выполнения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b/>
                <w:sz w:val="22"/>
                <w:szCs w:val="24"/>
              </w:rPr>
            </w:pPr>
            <w:r w:rsidRPr="00146D1E">
              <w:rPr>
                <w:b/>
                <w:sz w:val="22"/>
                <w:szCs w:val="24"/>
              </w:rPr>
              <w:t>Ответственный исполнитель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Обеспечение взаимодействия и координации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Дополнительные поступления в бюджет города Югорска в результате погашения недоимки по налогам и задолженности  по начисленным пеням и штрафам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финансов администрации города Югорска;</w:t>
            </w:r>
          </w:p>
          <w:p w:rsidR="00AF1F4A" w:rsidRPr="00146D1E" w:rsidRDefault="00AF1F4A" w:rsidP="00146D1E">
            <w:pPr>
              <w:pStyle w:val="1"/>
              <w:rPr>
                <w:b/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Дополнительные поступления в бюджет города Югорска в результате увеличения налоговой базы и погашения недоимки по налогам и задолженности  по начисленным пеням и штрафам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финансов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Подготовка и проведение заседаний комиссии по вопросам социально-экономического развития муниципального образования город </w:t>
            </w:r>
            <w:proofErr w:type="spellStart"/>
            <w:r w:rsidRPr="00146D1E">
              <w:rPr>
                <w:sz w:val="22"/>
                <w:szCs w:val="24"/>
              </w:rPr>
              <w:t>Югорск</w:t>
            </w:r>
            <w:proofErr w:type="spellEnd"/>
            <w:r w:rsidRPr="00146D1E">
              <w:rPr>
                <w:sz w:val="22"/>
                <w:szCs w:val="24"/>
              </w:rPr>
              <w:t xml:space="preserve"> и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Повышение реальных доходов населения, ликвидация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 налога на доходы физических лиц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pStyle w:val="1"/>
              <w:rPr>
                <w:b/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Направление информации в Межрайонную ИФНС России №4 по Ханты - Мансийскому автономному округу -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- о заключенных муниципальных контрактах с иногородними поставщиками (исполнителями, подрядчиками);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pStyle w:val="1"/>
              <w:rPr>
                <w:b/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- об иногородних организациях, осуществляющих строительные работы на объектах города;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- об иногородних арендаторах, заключивших договоры аренды земельных участков и  аренды муниципального имущества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- о выданных разрешениях на строительство</w:t>
            </w:r>
          </w:p>
          <w:p w:rsidR="00AF1F4A" w:rsidRPr="00146D1E" w:rsidRDefault="00AF1F4A" w:rsidP="00146D1E">
            <w:pPr>
              <w:rPr>
                <w:sz w:val="22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16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Осуществление контроля за соблюдением подрядными организациями условия муниципального контракта об обязательной постановке на налоговый учет  в Межрайонной ИФНС России №4 по Ханты - Мансийскому автономному округу - Югре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В течение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 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Организация информирования налогоплательщиков города о сроках уплаты налогов, необходимости погашения задолженности, о необходимости регистрации прав собственности на объекты капитального строительства и земельные участки, о результатах проведения совместных рейдов  и т.д. в газете "Югорский вестник", на телевидении и на официальном сайте органов местного самоуправления  города Югорска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Дополнительные поступления в бюджет города Югорска  в результате увеличения налоговой базы и  погашения недоимки по  налогам и задолженности по начисленным пеням и штрафам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финансов администрации города Югорска;</w:t>
            </w:r>
          </w:p>
          <w:p w:rsidR="00AF1F4A" w:rsidRPr="00146D1E" w:rsidRDefault="00AF1F4A" w:rsidP="00146D1E">
            <w:pPr>
              <w:pStyle w:val="1"/>
              <w:rPr>
                <w:b/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экономического развития и проектного управления администрации города Югорска;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Проведение мероприятий, направленных на выявление незаконно установленных и незаконно эксплуатируемых рекламных конструкций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Эффективное использование муниципального имущества и дополнительные поступления  в бюджет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Формирование и уточнение списка налогоплательщиков: юридических  лиц и индивидуальных предпринимателей, имеющих сформированные земельные участки для привлечения данной категории налогоплательщиков к предоставлению налоговой отчетности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Эффективное использование земельных ресурсов, дополнительные поступления  в бюджет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Проведение </w:t>
            </w:r>
            <w:proofErr w:type="spellStart"/>
            <w:r w:rsidRPr="00146D1E">
              <w:rPr>
                <w:sz w:val="22"/>
                <w:szCs w:val="24"/>
              </w:rPr>
              <w:t>претензионно</w:t>
            </w:r>
            <w:proofErr w:type="spellEnd"/>
            <w:r w:rsidRPr="00146D1E">
              <w:rPr>
                <w:sz w:val="22"/>
                <w:szCs w:val="24"/>
              </w:rPr>
              <w:t xml:space="preserve"> - исковой работы по взысканию задолженности за использование муниципального имущества, </w:t>
            </w:r>
            <w:proofErr w:type="gramStart"/>
            <w:r w:rsidRPr="00146D1E">
              <w:rPr>
                <w:sz w:val="22"/>
                <w:szCs w:val="24"/>
              </w:rPr>
              <w:t>включая  земельные</w:t>
            </w:r>
            <w:proofErr w:type="gramEnd"/>
            <w:r w:rsidRPr="00146D1E">
              <w:rPr>
                <w:sz w:val="22"/>
                <w:szCs w:val="24"/>
              </w:rPr>
              <w:t xml:space="preserve"> участки</w:t>
            </w:r>
          </w:p>
          <w:p w:rsidR="00AF1F4A" w:rsidRPr="00146D1E" w:rsidRDefault="00AF1F4A" w:rsidP="00146D1E">
            <w:pPr>
              <w:rPr>
                <w:sz w:val="22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Дополнительные поступления неналоговых доходов в бюджет города Югорска по результатам контроля за использованием муниципальной собственности в части ведения </w:t>
            </w:r>
            <w:proofErr w:type="spellStart"/>
            <w:r w:rsidRPr="00146D1E">
              <w:rPr>
                <w:sz w:val="22"/>
                <w:szCs w:val="24"/>
              </w:rPr>
              <w:t>претензионно</w:t>
            </w:r>
            <w:proofErr w:type="spellEnd"/>
            <w:r w:rsidRPr="00146D1E">
              <w:rPr>
                <w:sz w:val="22"/>
                <w:szCs w:val="24"/>
              </w:rPr>
              <w:t>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Проведение мероприятий по инвентаризации земельных участков, связанных с выявлением нецелевого использования и самовольным занятием земельных участков</w:t>
            </w:r>
          </w:p>
          <w:p w:rsidR="00AF1F4A" w:rsidRPr="00146D1E" w:rsidRDefault="00AF1F4A" w:rsidP="00146D1E">
            <w:pPr>
              <w:rPr>
                <w:sz w:val="22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Дополнительные поступления неналоговых доходов в бюджет города Югорска по результатам контроля  за использованием муниципальной собственности в части ведения </w:t>
            </w:r>
            <w:proofErr w:type="spellStart"/>
            <w:r w:rsidRPr="00146D1E">
              <w:rPr>
                <w:sz w:val="22"/>
                <w:szCs w:val="24"/>
              </w:rPr>
              <w:t>претензионно</w:t>
            </w:r>
            <w:proofErr w:type="spellEnd"/>
            <w:r w:rsidRPr="00146D1E">
              <w:rPr>
                <w:sz w:val="22"/>
                <w:szCs w:val="24"/>
              </w:rPr>
              <w:t>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bookmarkEnd w:id="1"/>
      <w:bookmarkEnd w:id="2"/>
    </w:tbl>
    <w:p w:rsidR="00AF1F4A" w:rsidRPr="00146D1E" w:rsidRDefault="00AF1F4A" w:rsidP="00AF1F4A">
      <w:pPr>
        <w:jc w:val="both"/>
        <w:rPr>
          <w:sz w:val="24"/>
          <w:szCs w:val="24"/>
        </w:rPr>
      </w:pPr>
    </w:p>
    <w:p w:rsidR="001E58E3" w:rsidRPr="00146D1E" w:rsidRDefault="001E58E3" w:rsidP="001E58E3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7C2231" w:rsidRPr="00146D1E" w:rsidRDefault="007C2231">
      <w:pPr>
        <w:rPr>
          <w:b/>
          <w:sz w:val="24"/>
          <w:szCs w:val="24"/>
        </w:rPr>
      </w:pPr>
    </w:p>
    <w:sectPr w:rsidR="007C2231" w:rsidRPr="00146D1E" w:rsidSect="00FE29B7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523"/>
    <w:multiLevelType w:val="hybridMultilevel"/>
    <w:tmpl w:val="DB5E5EFC"/>
    <w:lvl w:ilvl="0" w:tplc="94E0DDE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9237CA"/>
    <w:multiLevelType w:val="hybridMultilevel"/>
    <w:tmpl w:val="4D8A3BBE"/>
    <w:lvl w:ilvl="0" w:tplc="78B07F1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EF7C05"/>
    <w:multiLevelType w:val="hybridMultilevel"/>
    <w:tmpl w:val="10028706"/>
    <w:lvl w:ilvl="0" w:tplc="90B01E7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40137"/>
    <w:multiLevelType w:val="hybridMultilevel"/>
    <w:tmpl w:val="B274AD96"/>
    <w:lvl w:ilvl="0" w:tplc="E2B2824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9E0622"/>
    <w:multiLevelType w:val="hybridMultilevel"/>
    <w:tmpl w:val="F628E236"/>
    <w:lvl w:ilvl="0" w:tplc="206C4B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F12302"/>
    <w:multiLevelType w:val="hybridMultilevel"/>
    <w:tmpl w:val="A060013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514"/>
    <w:rsid w:val="00000B66"/>
    <w:rsid w:val="00013EC0"/>
    <w:rsid w:val="00015328"/>
    <w:rsid w:val="00032EEE"/>
    <w:rsid w:val="00033894"/>
    <w:rsid w:val="00034D10"/>
    <w:rsid w:val="000400E0"/>
    <w:rsid w:val="000564D7"/>
    <w:rsid w:val="00066320"/>
    <w:rsid w:val="000708A9"/>
    <w:rsid w:val="00081AE1"/>
    <w:rsid w:val="00082C31"/>
    <w:rsid w:val="000909AD"/>
    <w:rsid w:val="00095449"/>
    <w:rsid w:val="000A10B6"/>
    <w:rsid w:val="000A1A03"/>
    <w:rsid w:val="000B37DF"/>
    <w:rsid w:val="000C4C81"/>
    <w:rsid w:val="000D3EC5"/>
    <w:rsid w:val="000D4D4D"/>
    <w:rsid w:val="000D55A2"/>
    <w:rsid w:val="000E3B76"/>
    <w:rsid w:val="000E480A"/>
    <w:rsid w:val="000E65DA"/>
    <w:rsid w:val="000E6D84"/>
    <w:rsid w:val="000F017D"/>
    <w:rsid w:val="000F64D6"/>
    <w:rsid w:val="00101AE0"/>
    <w:rsid w:val="00106FE5"/>
    <w:rsid w:val="00112963"/>
    <w:rsid w:val="0011656E"/>
    <w:rsid w:val="00134244"/>
    <w:rsid w:val="00144FC8"/>
    <w:rsid w:val="00146D1E"/>
    <w:rsid w:val="001519EE"/>
    <w:rsid w:val="00156448"/>
    <w:rsid w:val="001565C0"/>
    <w:rsid w:val="00161775"/>
    <w:rsid w:val="00165623"/>
    <w:rsid w:val="001666CC"/>
    <w:rsid w:val="00170AE0"/>
    <w:rsid w:val="00173294"/>
    <w:rsid w:val="00182F62"/>
    <w:rsid w:val="00184D3D"/>
    <w:rsid w:val="00186A51"/>
    <w:rsid w:val="00190CBF"/>
    <w:rsid w:val="00193905"/>
    <w:rsid w:val="00194289"/>
    <w:rsid w:val="001B2D19"/>
    <w:rsid w:val="001B68D3"/>
    <w:rsid w:val="001C1098"/>
    <w:rsid w:val="001C47E1"/>
    <w:rsid w:val="001C4F21"/>
    <w:rsid w:val="001D59B3"/>
    <w:rsid w:val="001D64D8"/>
    <w:rsid w:val="001E21A5"/>
    <w:rsid w:val="001E58E3"/>
    <w:rsid w:val="001F2962"/>
    <w:rsid w:val="001F6AB7"/>
    <w:rsid w:val="001F762D"/>
    <w:rsid w:val="002073DE"/>
    <w:rsid w:val="002111C5"/>
    <w:rsid w:val="00217DBD"/>
    <w:rsid w:val="00247C75"/>
    <w:rsid w:val="002517D2"/>
    <w:rsid w:val="0026016B"/>
    <w:rsid w:val="00263074"/>
    <w:rsid w:val="00263B07"/>
    <w:rsid w:val="0026474F"/>
    <w:rsid w:val="002775DC"/>
    <w:rsid w:val="00280464"/>
    <w:rsid w:val="00281429"/>
    <w:rsid w:val="0029186A"/>
    <w:rsid w:val="00293C0D"/>
    <w:rsid w:val="00296DE5"/>
    <w:rsid w:val="002B0070"/>
    <w:rsid w:val="002B7065"/>
    <w:rsid w:val="002C418A"/>
    <w:rsid w:val="002C465A"/>
    <w:rsid w:val="002C4A1C"/>
    <w:rsid w:val="002C6EA5"/>
    <w:rsid w:val="002D058B"/>
    <w:rsid w:val="002E01AB"/>
    <w:rsid w:val="002E0E36"/>
    <w:rsid w:val="002E4A2A"/>
    <w:rsid w:val="002E5231"/>
    <w:rsid w:val="002E5870"/>
    <w:rsid w:val="002E6ACB"/>
    <w:rsid w:val="00303690"/>
    <w:rsid w:val="00304C86"/>
    <w:rsid w:val="003061BE"/>
    <w:rsid w:val="00307321"/>
    <w:rsid w:val="00313D66"/>
    <w:rsid w:val="003141EB"/>
    <w:rsid w:val="00317789"/>
    <w:rsid w:val="00327C3F"/>
    <w:rsid w:val="00330126"/>
    <w:rsid w:val="00333439"/>
    <w:rsid w:val="00333607"/>
    <w:rsid w:val="00333E41"/>
    <w:rsid w:val="003433EA"/>
    <w:rsid w:val="003445AC"/>
    <w:rsid w:val="00347CBB"/>
    <w:rsid w:val="00354245"/>
    <w:rsid w:val="00356F40"/>
    <w:rsid w:val="003638BD"/>
    <w:rsid w:val="00366D96"/>
    <w:rsid w:val="00367A5B"/>
    <w:rsid w:val="00371A3A"/>
    <w:rsid w:val="0037206C"/>
    <w:rsid w:val="00372815"/>
    <w:rsid w:val="003766BC"/>
    <w:rsid w:val="003875CC"/>
    <w:rsid w:val="00394F6D"/>
    <w:rsid w:val="0039637A"/>
    <w:rsid w:val="003A1A38"/>
    <w:rsid w:val="003B2B55"/>
    <w:rsid w:val="003B35F0"/>
    <w:rsid w:val="003B7391"/>
    <w:rsid w:val="003C0A0C"/>
    <w:rsid w:val="003C54B8"/>
    <w:rsid w:val="003D430E"/>
    <w:rsid w:val="003D7771"/>
    <w:rsid w:val="003E1C3B"/>
    <w:rsid w:val="003E5EE3"/>
    <w:rsid w:val="003E7564"/>
    <w:rsid w:val="003E7C52"/>
    <w:rsid w:val="003F0265"/>
    <w:rsid w:val="003F1C8A"/>
    <w:rsid w:val="003F5186"/>
    <w:rsid w:val="003F76AB"/>
    <w:rsid w:val="00400185"/>
    <w:rsid w:val="00400B6A"/>
    <w:rsid w:val="00403C2E"/>
    <w:rsid w:val="00405566"/>
    <w:rsid w:val="00412C1C"/>
    <w:rsid w:val="00413B48"/>
    <w:rsid w:val="00416E7A"/>
    <w:rsid w:val="0044249D"/>
    <w:rsid w:val="00453113"/>
    <w:rsid w:val="00454D70"/>
    <w:rsid w:val="00460345"/>
    <w:rsid w:val="00465820"/>
    <w:rsid w:val="00466493"/>
    <w:rsid w:val="00466621"/>
    <w:rsid w:val="0047347E"/>
    <w:rsid w:val="00493ADD"/>
    <w:rsid w:val="004A48DA"/>
    <w:rsid w:val="004A769B"/>
    <w:rsid w:val="004B332E"/>
    <w:rsid w:val="004C4FD8"/>
    <w:rsid w:val="004C5069"/>
    <w:rsid w:val="004D33E3"/>
    <w:rsid w:val="004D5EE4"/>
    <w:rsid w:val="004E1528"/>
    <w:rsid w:val="004E5A92"/>
    <w:rsid w:val="004F2411"/>
    <w:rsid w:val="004F39F7"/>
    <w:rsid w:val="005133C0"/>
    <w:rsid w:val="005208AD"/>
    <w:rsid w:val="005220E0"/>
    <w:rsid w:val="00525DEB"/>
    <w:rsid w:val="005315ED"/>
    <w:rsid w:val="0053233C"/>
    <w:rsid w:val="005370BB"/>
    <w:rsid w:val="00545D24"/>
    <w:rsid w:val="00547011"/>
    <w:rsid w:val="00564E51"/>
    <w:rsid w:val="00570BD8"/>
    <w:rsid w:val="00572AFE"/>
    <w:rsid w:val="005821C7"/>
    <w:rsid w:val="00587138"/>
    <w:rsid w:val="005933FE"/>
    <w:rsid w:val="005956C6"/>
    <w:rsid w:val="005A2CB9"/>
    <w:rsid w:val="005A6C3B"/>
    <w:rsid w:val="005B19F6"/>
    <w:rsid w:val="005B40DC"/>
    <w:rsid w:val="005B474E"/>
    <w:rsid w:val="005B71D4"/>
    <w:rsid w:val="005C044D"/>
    <w:rsid w:val="005D2589"/>
    <w:rsid w:val="005D4777"/>
    <w:rsid w:val="005D6982"/>
    <w:rsid w:val="005E3655"/>
    <w:rsid w:val="005E3A31"/>
    <w:rsid w:val="005E4E8F"/>
    <w:rsid w:val="005F28B6"/>
    <w:rsid w:val="00600C33"/>
    <w:rsid w:val="00611FA2"/>
    <w:rsid w:val="0061539F"/>
    <w:rsid w:val="00617618"/>
    <w:rsid w:val="006336B1"/>
    <w:rsid w:val="0063586C"/>
    <w:rsid w:val="00645CBE"/>
    <w:rsid w:val="00645F41"/>
    <w:rsid w:val="006518B2"/>
    <w:rsid w:val="006521DC"/>
    <w:rsid w:val="00657DA9"/>
    <w:rsid w:val="00663C8D"/>
    <w:rsid w:val="00667EA6"/>
    <w:rsid w:val="00670C8D"/>
    <w:rsid w:val="00672115"/>
    <w:rsid w:val="006801DF"/>
    <w:rsid w:val="00681141"/>
    <w:rsid w:val="006865C2"/>
    <w:rsid w:val="006B0582"/>
    <w:rsid w:val="006B4E6D"/>
    <w:rsid w:val="006B6F6E"/>
    <w:rsid w:val="006C0C05"/>
    <w:rsid w:val="006C18CE"/>
    <w:rsid w:val="006C686B"/>
    <w:rsid w:val="006D0080"/>
    <w:rsid w:val="006D0FD5"/>
    <w:rsid w:val="006D6EBE"/>
    <w:rsid w:val="006F3ACA"/>
    <w:rsid w:val="006F5F63"/>
    <w:rsid w:val="006F645B"/>
    <w:rsid w:val="006F70F1"/>
    <w:rsid w:val="00700347"/>
    <w:rsid w:val="00704340"/>
    <w:rsid w:val="00704FF9"/>
    <w:rsid w:val="00711F39"/>
    <w:rsid w:val="007121AE"/>
    <w:rsid w:val="00714958"/>
    <w:rsid w:val="0072137E"/>
    <w:rsid w:val="007213F8"/>
    <w:rsid w:val="00722A2F"/>
    <w:rsid w:val="00743F38"/>
    <w:rsid w:val="00753E1C"/>
    <w:rsid w:val="00755218"/>
    <w:rsid w:val="007618F6"/>
    <w:rsid w:val="00771E4C"/>
    <w:rsid w:val="007732E9"/>
    <w:rsid w:val="0078127A"/>
    <w:rsid w:val="00784103"/>
    <w:rsid w:val="00790060"/>
    <w:rsid w:val="00790F66"/>
    <w:rsid w:val="007A53F5"/>
    <w:rsid w:val="007A5FD8"/>
    <w:rsid w:val="007B38B9"/>
    <w:rsid w:val="007B7C31"/>
    <w:rsid w:val="007B7C48"/>
    <w:rsid w:val="007C2231"/>
    <w:rsid w:val="007D6D89"/>
    <w:rsid w:val="007D786C"/>
    <w:rsid w:val="007E7E5E"/>
    <w:rsid w:val="007F32A0"/>
    <w:rsid w:val="00800ABD"/>
    <w:rsid w:val="00802900"/>
    <w:rsid w:val="00802970"/>
    <w:rsid w:val="00813A06"/>
    <w:rsid w:val="00817B04"/>
    <w:rsid w:val="00825B6D"/>
    <w:rsid w:val="00837EC9"/>
    <w:rsid w:val="00850FCD"/>
    <w:rsid w:val="008567C4"/>
    <w:rsid w:val="00880538"/>
    <w:rsid w:val="008827EE"/>
    <w:rsid w:val="00890A75"/>
    <w:rsid w:val="00891287"/>
    <w:rsid w:val="0089262F"/>
    <w:rsid w:val="008A4B03"/>
    <w:rsid w:val="008B314E"/>
    <w:rsid w:val="008D5101"/>
    <w:rsid w:val="008E6A44"/>
    <w:rsid w:val="008F3E8C"/>
    <w:rsid w:val="009035AD"/>
    <w:rsid w:val="009042C4"/>
    <w:rsid w:val="00905943"/>
    <w:rsid w:val="0090630A"/>
    <w:rsid w:val="00910F39"/>
    <w:rsid w:val="0091545C"/>
    <w:rsid w:val="009249E5"/>
    <w:rsid w:val="00925FAB"/>
    <w:rsid w:val="00931A19"/>
    <w:rsid w:val="00932E9E"/>
    <w:rsid w:val="00936376"/>
    <w:rsid w:val="00945BF3"/>
    <w:rsid w:val="009511CE"/>
    <w:rsid w:val="00953748"/>
    <w:rsid w:val="00957B60"/>
    <w:rsid w:val="009606ED"/>
    <w:rsid w:val="00962283"/>
    <w:rsid w:val="009660B1"/>
    <w:rsid w:val="009752EF"/>
    <w:rsid w:val="00976CF2"/>
    <w:rsid w:val="00984D6F"/>
    <w:rsid w:val="00985F40"/>
    <w:rsid w:val="0099220B"/>
    <w:rsid w:val="009A2A17"/>
    <w:rsid w:val="009A5EF6"/>
    <w:rsid w:val="009B0AE8"/>
    <w:rsid w:val="009B36D0"/>
    <w:rsid w:val="009B3B4F"/>
    <w:rsid w:val="009C2328"/>
    <w:rsid w:val="009C76AE"/>
    <w:rsid w:val="009C7FB6"/>
    <w:rsid w:val="009D2208"/>
    <w:rsid w:val="009D3817"/>
    <w:rsid w:val="009E49B6"/>
    <w:rsid w:val="00A07F6C"/>
    <w:rsid w:val="00A11EDA"/>
    <w:rsid w:val="00A22376"/>
    <w:rsid w:val="00A228D0"/>
    <w:rsid w:val="00A30090"/>
    <w:rsid w:val="00A40937"/>
    <w:rsid w:val="00A46145"/>
    <w:rsid w:val="00A53B6C"/>
    <w:rsid w:val="00A56FB4"/>
    <w:rsid w:val="00A710EE"/>
    <w:rsid w:val="00A72703"/>
    <w:rsid w:val="00A81470"/>
    <w:rsid w:val="00A86627"/>
    <w:rsid w:val="00A87583"/>
    <w:rsid w:val="00A92159"/>
    <w:rsid w:val="00AA0A98"/>
    <w:rsid w:val="00AB0BD9"/>
    <w:rsid w:val="00AC75B1"/>
    <w:rsid w:val="00AD3F1F"/>
    <w:rsid w:val="00AD6037"/>
    <w:rsid w:val="00AD7651"/>
    <w:rsid w:val="00AE1E43"/>
    <w:rsid w:val="00AE5741"/>
    <w:rsid w:val="00AE6803"/>
    <w:rsid w:val="00AE6BEC"/>
    <w:rsid w:val="00AE7026"/>
    <w:rsid w:val="00AF1F4A"/>
    <w:rsid w:val="00AF35F1"/>
    <w:rsid w:val="00AF7375"/>
    <w:rsid w:val="00B07F51"/>
    <w:rsid w:val="00B12F49"/>
    <w:rsid w:val="00B223DE"/>
    <w:rsid w:val="00B22B45"/>
    <w:rsid w:val="00B41127"/>
    <w:rsid w:val="00B47501"/>
    <w:rsid w:val="00B57EF3"/>
    <w:rsid w:val="00B6451A"/>
    <w:rsid w:val="00B64B33"/>
    <w:rsid w:val="00B66819"/>
    <w:rsid w:val="00B726D4"/>
    <w:rsid w:val="00B732B5"/>
    <w:rsid w:val="00B90E60"/>
    <w:rsid w:val="00BA78A7"/>
    <w:rsid w:val="00BB1B1C"/>
    <w:rsid w:val="00BB2EEA"/>
    <w:rsid w:val="00BE0261"/>
    <w:rsid w:val="00BE6439"/>
    <w:rsid w:val="00BE697D"/>
    <w:rsid w:val="00BE770A"/>
    <w:rsid w:val="00BF19E5"/>
    <w:rsid w:val="00C06261"/>
    <w:rsid w:val="00C11C4A"/>
    <w:rsid w:val="00C168E8"/>
    <w:rsid w:val="00C21BBB"/>
    <w:rsid w:val="00C24258"/>
    <w:rsid w:val="00C2437E"/>
    <w:rsid w:val="00C24ACF"/>
    <w:rsid w:val="00C37B8E"/>
    <w:rsid w:val="00C37CF1"/>
    <w:rsid w:val="00C40528"/>
    <w:rsid w:val="00C4197C"/>
    <w:rsid w:val="00C42EB0"/>
    <w:rsid w:val="00C43483"/>
    <w:rsid w:val="00C52A46"/>
    <w:rsid w:val="00C53C60"/>
    <w:rsid w:val="00C54BB4"/>
    <w:rsid w:val="00C5614A"/>
    <w:rsid w:val="00C616C1"/>
    <w:rsid w:val="00C62C58"/>
    <w:rsid w:val="00C8409F"/>
    <w:rsid w:val="00CB0538"/>
    <w:rsid w:val="00CC2DFF"/>
    <w:rsid w:val="00CD01EE"/>
    <w:rsid w:val="00CD070D"/>
    <w:rsid w:val="00CD4AAD"/>
    <w:rsid w:val="00CE2980"/>
    <w:rsid w:val="00D03D9E"/>
    <w:rsid w:val="00D05503"/>
    <w:rsid w:val="00D105D5"/>
    <w:rsid w:val="00D23B5D"/>
    <w:rsid w:val="00D26363"/>
    <w:rsid w:val="00D34936"/>
    <w:rsid w:val="00D37AFB"/>
    <w:rsid w:val="00D41BC8"/>
    <w:rsid w:val="00D42241"/>
    <w:rsid w:val="00D45005"/>
    <w:rsid w:val="00D46D3C"/>
    <w:rsid w:val="00D64B99"/>
    <w:rsid w:val="00D6798C"/>
    <w:rsid w:val="00D82790"/>
    <w:rsid w:val="00D90C4A"/>
    <w:rsid w:val="00D93F69"/>
    <w:rsid w:val="00DB3675"/>
    <w:rsid w:val="00DC0DF5"/>
    <w:rsid w:val="00DD217D"/>
    <w:rsid w:val="00DD3291"/>
    <w:rsid w:val="00DD3893"/>
    <w:rsid w:val="00DE06F6"/>
    <w:rsid w:val="00DF35AB"/>
    <w:rsid w:val="00E03A78"/>
    <w:rsid w:val="00E07210"/>
    <w:rsid w:val="00E20AE3"/>
    <w:rsid w:val="00E24CFC"/>
    <w:rsid w:val="00E34836"/>
    <w:rsid w:val="00E3722F"/>
    <w:rsid w:val="00E408BA"/>
    <w:rsid w:val="00E42EEC"/>
    <w:rsid w:val="00E43951"/>
    <w:rsid w:val="00E4760A"/>
    <w:rsid w:val="00E57211"/>
    <w:rsid w:val="00E57403"/>
    <w:rsid w:val="00E61557"/>
    <w:rsid w:val="00E65F78"/>
    <w:rsid w:val="00E7615D"/>
    <w:rsid w:val="00E82503"/>
    <w:rsid w:val="00E874D6"/>
    <w:rsid w:val="00E91482"/>
    <w:rsid w:val="00E97B40"/>
    <w:rsid w:val="00EA52E5"/>
    <w:rsid w:val="00EB0459"/>
    <w:rsid w:val="00EB5C6A"/>
    <w:rsid w:val="00EC3C60"/>
    <w:rsid w:val="00EC46FF"/>
    <w:rsid w:val="00ED62CE"/>
    <w:rsid w:val="00EE51A9"/>
    <w:rsid w:val="00EF63DA"/>
    <w:rsid w:val="00F01D69"/>
    <w:rsid w:val="00F04780"/>
    <w:rsid w:val="00F04FB4"/>
    <w:rsid w:val="00F053E3"/>
    <w:rsid w:val="00F05736"/>
    <w:rsid w:val="00F16C5C"/>
    <w:rsid w:val="00F36768"/>
    <w:rsid w:val="00F4492C"/>
    <w:rsid w:val="00F612B5"/>
    <w:rsid w:val="00F72BBF"/>
    <w:rsid w:val="00F73202"/>
    <w:rsid w:val="00F812D5"/>
    <w:rsid w:val="00F86DDF"/>
    <w:rsid w:val="00F91A01"/>
    <w:rsid w:val="00F96A63"/>
    <w:rsid w:val="00FA31DA"/>
    <w:rsid w:val="00FB15EA"/>
    <w:rsid w:val="00FB3514"/>
    <w:rsid w:val="00FB6527"/>
    <w:rsid w:val="00FD251C"/>
    <w:rsid w:val="00FE0031"/>
    <w:rsid w:val="00FE1196"/>
    <w:rsid w:val="00FE29B7"/>
    <w:rsid w:val="00FF35F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4E7F"/>
  <w15:docId w15:val="{934129E5-B02F-42B6-AF01-4F2BC78D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3514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FB351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B3514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35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351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FB3514"/>
    <w:pPr>
      <w:jc w:val="both"/>
    </w:pPr>
  </w:style>
  <w:style w:type="character" w:customStyle="1" w:styleId="30">
    <w:name w:val="Основной текст 3 Знак"/>
    <w:basedOn w:val="a0"/>
    <w:link w:val="3"/>
    <w:rsid w:val="00FB3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370BB"/>
    <w:pPr>
      <w:jc w:val="center"/>
    </w:pPr>
    <w:rPr>
      <w:rFonts w:ascii="Coronet" w:hAnsi="Coronet"/>
      <w:sz w:val="32"/>
    </w:rPr>
  </w:style>
  <w:style w:type="character" w:customStyle="1" w:styleId="a6">
    <w:name w:val="Заголовок Знак"/>
    <w:basedOn w:val="a0"/>
    <w:link w:val="a5"/>
    <w:rsid w:val="005370BB"/>
    <w:rPr>
      <w:rFonts w:ascii="Coronet" w:eastAsia="Times New Roman" w:hAnsi="Coronet"/>
      <w:sz w:val="32"/>
    </w:rPr>
  </w:style>
  <w:style w:type="paragraph" w:styleId="a7">
    <w:name w:val="List Paragraph"/>
    <w:basedOn w:val="a"/>
    <w:uiPriority w:val="34"/>
    <w:qFormat/>
    <w:rsid w:val="00FF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3CDB7-CFC2-482B-B822-4B35B8F4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dfunix</cp:lastModifiedBy>
  <cp:revision>3</cp:revision>
  <cp:lastPrinted>2019-01-23T09:27:00Z</cp:lastPrinted>
  <dcterms:created xsi:type="dcterms:W3CDTF">2019-04-24T09:55:00Z</dcterms:created>
  <dcterms:modified xsi:type="dcterms:W3CDTF">2019-04-24T10:10:00Z</dcterms:modified>
</cp:coreProperties>
</file>