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B65BE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CF77B6" w:rsidRDefault="00CF77B6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CF77B6" w:rsidRDefault="00CF77B6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B65BE2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B65BE2">
        <w:rPr>
          <w:sz w:val="24"/>
          <w:szCs w:val="24"/>
          <w:u w:val="single"/>
        </w:rPr>
        <w:t xml:space="preserve">  24 декабря 2019 года </w:t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</w:r>
      <w:r w:rsidR="00B65BE2">
        <w:rPr>
          <w:sz w:val="24"/>
          <w:szCs w:val="24"/>
        </w:rPr>
        <w:tab/>
        <w:t xml:space="preserve">          №</w:t>
      </w:r>
      <w:r w:rsidR="00B65BE2">
        <w:rPr>
          <w:sz w:val="24"/>
          <w:szCs w:val="24"/>
          <w:u w:val="single"/>
        </w:rPr>
        <w:t xml:space="preserve"> 2776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О внесении изменений </w:t>
      </w: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в постановление администрации </w:t>
      </w: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города Югорска от 30.10.2018 № 3001</w:t>
      </w: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«О муниципальной программе города Югорска</w:t>
      </w: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«Культурное пространство»</w:t>
      </w: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549D8" w:rsidRDefault="007549D8" w:rsidP="007549D8">
      <w:p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</w:p>
    <w:p w:rsidR="007549D8" w:rsidRDefault="007549D8" w:rsidP="00754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постановлением администрации города Югорска                                                от 01.11.2019 № 2359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развития»</w:t>
      </w:r>
      <w:r>
        <w:rPr>
          <w:bCs/>
          <w:color w:val="000000"/>
          <w:sz w:val="24"/>
          <w:szCs w:val="24"/>
        </w:rPr>
        <w:t>:</w:t>
      </w:r>
    </w:p>
    <w:p w:rsidR="007549D8" w:rsidRDefault="007549D8" w:rsidP="007549D8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Внести в постановление администрации города Югорска от 30.10.2018 № 3001     «О муниципальной программе города Югорска «Культурное пространство» (с изменениями               от 29.04.2019 № 890, от 10.10.2019 № 2193, от 06.11.2019 № 2398) следующие изменения:</w:t>
      </w:r>
    </w:p>
    <w:p w:rsidR="007549D8" w:rsidRDefault="007549D8" w:rsidP="007549D8">
      <w:pPr>
        <w:numPr>
          <w:ilvl w:val="1"/>
          <w:numId w:val="3"/>
        </w:numPr>
        <w:ind w:left="0" w:firstLine="709"/>
        <w:jc w:val="both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 преамбуле слова «от 18.10.2018 № 2876» заменить словами «от 01.11.2019                № 2359».</w:t>
      </w:r>
    </w:p>
    <w:p w:rsidR="007549D8" w:rsidRDefault="007549D8" w:rsidP="007549D8">
      <w:pPr>
        <w:numPr>
          <w:ilvl w:val="1"/>
          <w:numId w:val="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Приложение изложить в новой редакции (приложение).</w:t>
      </w:r>
    </w:p>
    <w:p w:rsidR="007549D8" w:rsidRDefault="007549D8" w:rsidP="007549D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                          и в государственной автоматизированной системе «Управление».</w:t>
      </w:r>
    </w:p>
    <w:p w:rsidR="007549D8" w:rsidRDefault="007549D8" w:rsidP="007549D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опубликования,                   но не ранее 01.01.2020.</w:t>
      </w:r>
    </w:p>
    <w:p w:rsidR="007549D8" w:rsidRDefault="007549D8" w:rsidP="007549D8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color w:val="000000"/>
          <w:sz w:val="24"/>
          <w:szCs w:val="24"/>
        </w:rPr>
        <w:t>Долгодворову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7549D8" w:rsidRDefault="007549D8" w:rsidP="007549D8">
      <w:pPr>
        <w:ind w:firstLine="709"/>
        <w:jc w:val="both"/>
        <w:rPr>
          <w:color w:val="000000"/>
          <w:sz w:val="24"/>
          <w:szCs w:val="24"/>
        </w:rPr>
      </w:pPr>
    </w:p>
    <w:p w:rsidR="007549D8" w:rsidRDefault="007549D8" w:rsidP="007549D8">
      <w:pPr>
        <w:ind w:firstLine="709"/>
        <w:jc w:val="both"/>
        <w:rPr>
          <w:color w:val="000000"/>
          <w:sz w:val="24"/>
          <w:szCs w:val="24"/>
        </w:rPr>
      </w:pPr>
    </w:p>
    <w:p w:rsidR="007549D8" w:rsidRDefault="007549D8" w:rsidP="007549D8">
      <w:pPr>
        <w:jc w:val="both"/>
        <w:rPr>
          <w:b/>
          <w:color w:val="000000"/>
          <w:sz w:val="24"/>
          <w:szCs w:val="24"/>
        </w:rPr>
      </w:pPr>
    </w:p>
    <w:p w:rsidR="007549D8" w:rsidRDefault="007549D8" w:rsidP="007549D8">
      <w:pPr>
        <w:jc w:val="both"/>
        <w:rPr>
          <w:b/>
          <w:color w:val="000000"/>
          <w:sz w:val="24"/>
          <w:szCs w:val="24"/>
        </w:rPr>
      </w:pPr>
    </w:p>
    <w:p w:rsidR="007549D8" w:rsidRDefault="007549D8" w:rsidP="007549D8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54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549D8" w:rsidRDefault="007549D8" w:rsidP="00754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549D8" w:rsidRDefault="007549D8" w:rsidP="00754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549D8" w:rsidRPr="00B65BE2" w:rsidRDefault="00B65BE2" w:rsidP="007549D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декабря 2019 года  </w:t>
      </w:r>
      <w:bookmarkStart w:id="0" w:name="_GoBack"/>
      <w:bookmarkEnd w:id="0"/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2776</w:t>
      </w: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54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7549D8" w:rsidRDefault="007549D8" w:rsidP="00754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549D8" w:rsidRDefault="007549D8" w:rsidP="007549D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549D8" w:rsidRPr="007549D8" w:rsidRDefault="007549D8" w:rsidP="007549D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30 октября 2018 года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3001</w:t>
      </w: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549D8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Муниципальная программа города Югорска</w:t>
      </w:r>
    </w:p>
    <w:p w:rsidR="007549D8" w:rsidRDefault="007549D8" w:rsidP="007549D8">
      <w:pPr>
        <w:suppressAutoHyphens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ascii="Calibri" w:hAnsi="Calibri"/>
          <w:b/>
          <w:sz w:val="24"/>
          <w:szCs w:val="24"/>
          <w:lang w:eastAsia="ru-RU"/>
        </w:rPr>
        <w:t>«</w:t>
      </w:r>
      <w:r>
        <w:rPr>
          <w:rFonts w:eastAsia="Calibri"/>
          <w:b/>
          <w:sz w:val="24"/>
          <w:szCs w:val="24"/>
          <w:lang w:eastAsia="en-US"/>
        </w:rPr>
        <w:t>Культурное пространство</w:t>
      </w:r>
      <w:r>
        <w:rPr>
          <w:rFonts w:ascii="Calibri" w:hAnsi="Calibri"/>
          <w:b/>
          <w:sz w:val="24"/>
          <w:szCs w:val="24"/>
          <w:lang w:eastAsia="ru-RU"/>
        </w:rPr>
        <w:t>»</w:t>
      </w:r>
    </w:p>
    <w:p w:rsidR="007549D8" w:rsidRDefault="007549D8" w:rsidP="007549D8">
      <w:pPr>
        <w:autoSpaceDE w:val="0"/>
        <w:autoSpaceDN w:val="0"/>
        <w:adjustRightInd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(далее-муниципальная программа)</w:t>
      </w:r>
    </w:p>
    <w:p w:rsidR="007549D8" w:rsidRDefault="007549D8" w:rsidP="007549D8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eastAsia="ru-RU"/>
        </w:rPr>
      </w:pPr>
    </w:p>
    <w:p w:rsidR="007549D8" w:rsidRDefault="007549D8" w:rsidP="007549D8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Паспорт</w:t>
      </w:r>
    </w:p>
    <w:p w:rsidR="007549D8" w:rsidRDefault="007549D8" w:rsidP="007549D8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муниципальной программы</w:t>
      </w:r>
    </w:p>
    <w:p w:rsidR="007549D8" w:rsidRDefault="007549D8" w:rsidP="007F4A15">
      <w:pPr>
        <w:jc w:val="both"/>
        <w:rPr>
          <w:sz w:val="24"/>
          <w:szCs w:val="24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2"/>
        <w:gridCol w:w="6031"/>
      </w:tblGrid>
      <w:tr w:rsidR="007549D8" w:rsidTr="007549D8">
        <w:trPr>
          <w:trHeight w:val="857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Культурное пространство</w:t>
            </w:r>
          </w:p>
        </w:tc>
      </w:tr>
      <w:tr w:rsidR="007549D8" w:rsidTr="007549D8">
        <w:trPr>
          <w:trHeight w:val="1340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Постановление администрации города Югорска                               от 30.10.2018 № 3001 «О муниципальной программе города Югорска «Культурное пространство»</w:t>
            </w:r>
          </w:p>
        </w:tc>
      </w:tr>
      <w:tr w:rsidR="007549D8" w:rsidTr="007549D8">
        <w:trPr>
          <w:trHeight w:val="923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культуры администрации города Югорска </w:t>
            </w:r>
          </w:p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(далее – Управление культуры)</w:t>
            </w:r>
          </w:p>
        </w:tc>
      </w:tr>
      <w:tr w:rsidR="007549D8" w:rsidTr="007549D8">
        <w:trPr>
          <w:trHeight w:val="2186"/>
        </w:trPr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ab/>
              <w:t>Управление бухгалтерского учета и отчетности администрации города Югорска.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ab/>
              <w:t>Департамент муниципальной собственности                          и градостроительства администрации города Югорска.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>Департамент жилищно-коммунального                            и строительного комплекса администрации города Югорска.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Укрепление единого культурного пространства города Югорска, создание комфортных условий и равных возможностей доступа населения к культурным ценностям, самореализации и раскрытия таланта каждого жителя города Югорска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>
              <w:rPr>
                <w:sz w:val="24"/>
                <w:szCs w:val="24"/>
                <w:lang w:eastAsia="ru-RU"/>
              </w:rPr>
              <w:tab/>
              <w:t>Повышение качества услуг в сфере культуры путем модернизации имущественного комплекса учреждений и организаций культуры.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</w:t>
            </w:r>
            <w:r>
              <w:rPr>
                <w:sz w:val="24"/>
                <w:szCs w:val="24"/>
                <w:lang w:eastAsia="ru-RU"/>
              </w:rPr>
              <w:tab/>
              <w:t>Создание равной доступности для населения                        к знаниям, информации и культурным ценностям, реализации каждым человеком его творческого потенциала.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</w:t>
            </w:r>
            <w:r>
              <w:rPr>
                <w:sz w:val="24"/>
                <w:szCs w:val="24"/>
                <w:lang w:eastAsia="ru-RU"/>
              </w:rPr>
              <w:tab/>
              <w:t>Совершенствование системы управления сферы культуры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Подпрограммы и (или) основные мероприятия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 «Модернизация и развитие учреждений                 и организаций культуры».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II «Поддержка творческих инициатив, способствующих самореализации населения».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III «Организационные, </w:t>
            </w:r>
            <w:proofErr w:type="gramStart"/>
            <w:r>
              <w:rPr>
                <w:sz w:val="24"/>
                <w:szCs w:val="24"/>
                <w:lang w:eastAsia="ru-RU"/>
              </w:rPr>
              <w:t>экономические механизмы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развития культуры»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Портфели проектов, проекты, входящие в состав муниципальной программы, в том числе направленные на реализацию в городе Югорске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Национальный проект «Культура»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Портфель проектов «Культура» -  37 973,7  тыс. рублей, в том числе: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«Культурная среда» -  37 823,7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«Творческие люди» -  50,0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региональный проект «Цифровая культура» -  100,0 тыс. рублей.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Муниципальный проект «Музейно-туристический комплекс «Ворота в Югру» - 5 100,0 тыс. рублей.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 Увеличение числа граждан, принимающих участие                  в культурной деятельности на 15,0%  к базовому значению.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2. Увеличение доли негосударственных, в том числе некоммерческих, организаций, предоставляющих услуги                       в сфере культуры, в общем числе организаций, предоставляющих услуги в сфере культуры, на уровне               от 20 до 26%.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 Увеличение доли граждан, получивших услуги                          в негосударственных, в том числе некоммерческих организациях, в общем числе граждан, получивших услуги в сфере культуры, от 2 до 6%.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4. Сохранение числа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по дополнительным предпрофессиональным, дополнительным общеразвивающим программам в области искусства в количестве 962 человека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– 2025 годы и на период до 2030 года</w:t>
            </w:r>
          </w:p>
        </w:tc>
      </w:tr>
      <w:tr w:rsidR="007549D8" w:rsidTr="007549D8"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9D8" w:rsidRDefault="007549D8">
            <w:pPr>
              <w:widowControl w:val="0"/>
              <w:suppressAutoHyphens w:val="0"/>
              <w:autoSpaceDE w:val="0"/>
              <w:autoSpaceDN w:val="0"/>
              <w:spacing w:line="276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3 231 393,7 тыс. рублей, в том числе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>: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 году  – 266 062,3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 году – 286 023,0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 году – 295 689,8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 году – 271 906,6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году – 264 074,0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году – 263 924,0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году – 263 994,0 тыс. рублей;</w:t>
            </w:r>
          </w:p>
          <w:p w:rsidR="007549D8" w:rsidRDefault="007549D8" w:rsidP="007549D8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2026 - 2030 </w:t>
            </w:r>
            <w:proofErr w:type="gramStart"/>
            <w:r>
              <w:rPr>
                <w:sz w:val="24"/>
                <w:szCs w:val="24"/>
                <w:lang w:eastAsia="ru-RU"/>
              </w:rPr>
              <w:t>годах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– 1 319 720,0 тыс. рублей</w:t>
            </w:r>
          </w:p>
        </w:tc>
      </w:tr>
    </w:tbl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7549D8" w:rsidRDefault="007549D8" w:rsidP="007F4A15">
      <w:pPr>
        <w:jc w:val="both"/>
        <w:rPr>
          <w:sz w:val="24"/>
          <w:szCs w:val="24"/>
        </w:rPr>
      </w:pPr>
    </w:p>
    <w:p w:rsidR="00572DC2" w:rsidRDefault="00572DC2" w:rsidP="00572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1. О стимулировании инвестиционной и инновационной деятельности, </w:t>
      </w:r>
    </w:p>
    <w:p w:rsidR="00572DC2" w:rsidRDefault="00572DC2" w:rsidP="00572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развитие конкуренции и негосударственного сектора экономики</w:t>
      </w:r>
    </w:p>
    <w:p w:rsidR="00572DC2" w:rsidRDefault="00572DC2" w:rsidP="00572DC2">
      <w:pPr>
        <w:widowControl w:val="0"/>
        <w:suppressAutoHyphens w:val="0"/>
        <w:autoSpaceDE w:val="0"/>
        <w:autoSpaceDN w:val="0"/>
        <w:jc w:val="center"/>
        <w:rPr>
          <w:sz w:val="24"/>
          <w:szCs w:val="24"/>
          <w:lang w:eastAsia="ru-RU"/>
        </w:rPr>
      </w:pPr>
    </w:p>
    <w:p w:rsidR="00572DC2" w:rsidRDefault="00572DC2" w:rsidP="00572DC2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Одним из инструментов формирования благоприятного инвестиционного климата, оказывающих воздействие на динамику социально - экономического развития города Югорска, является качество деловой среды и улучшение инвестиционного климата.</w:t>
      </w:r>
    </w:p>
    <w:p w:rsid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формирования идентичности и уникального образа города Югорска, обладающего значительным культурным потенциалом, регулярно проводятся мероприятия всероссийского                и регионального уровней, среди которых: окружной фестиваль самодеятельных театральных  коллективов «Театральная весна», Всероссийский фестиваль любительских театров «Театральные встречи в Югре», </w:t>
      </w:r>
      <w:r>
        <w:rPr>
          <w:rFonts w:eastAsia="Lucida Sans Unicode"/>
          <w:kern w:val="2"/>
          <w:sz w:val="24"/>
          <w:szCs w:val="24"/>
        </w:rPr>
        <w:t xml:space="preserve">Епархиальный </w:t>
      </w:r>
      <w:r>
        <w:rPr>
          <w:rFonts w:eastAsia="Arial Unicode MS" w:cs="Tahoma"/>
          <w:bCs/>
          <w:kern w:val="2"/>
          <w:sz w:val="24"/>
          <w:szCs w:val="29"/>
        </w:rPr>
        <w:t xml:space="preserve">фестиваль – конкурс «Пасха Красная», </w:t>
      </w:r>
      <w:r>
        <w:rPr>
          <w:rFonts w:eastAsia="Lucida Sans Unicode"/>
          <w:kern w:val="2"/>
          <w:sz w:val="24"/>
          <w:szCs w:val="24"/>
        </w:rPr>
        <w:t xml:space="preserve">окружной молодежный </w:t>
      </w:r>
      <w:r>
        <w:rPr>
          <w:rFonts w:eastAsia="Arial Unicode MS" w:cs="Tahoma"/>
          <w:bCs/>
          <w:kern w:val="2"/>
          <w:sz w:val="24"/>
          <w:szCs w:val="29"/>
        </w:rPr>
        <w:t xml:space="preserve">фестиваль  </w:t>
      </w:r>
      <w:proofErr w:type="spellStart"/>
      <w:r>
        <w:rPr>
          <w:rFonts w:eastAsia="Arial Unicode MS" w:cs="Tahoma"/>
          <w:bCs/>
          <w:kern w:val="2"/>
          <w:sz w:val="24"/>
          <w:szCs w:val="29"/>
        </w:rPr>
        <w:t>военно</w:t>
      </w:r>
      <w:proofErr w:type="spellEnd"/>
      <w:r>
        <w:rPr>
          <w:rFonts w:eastAsia="Arial Unicode MS" w:cs="Tahoma"/>
          <w:bCs/>
          <w:kern w:val="2"/>
          <w:sz w:val="24"/>
          <w:szCs w:val="29"/>
        </w:rPr>
        <w:t xml:space="preserve"> – патриотической  песни «</w:t>
      </w:r>
      <w:proofErr w:type="spellStart"/>
      <w:r>
        <w:rPr>
          <w:rFonts w:eastAsia="Arial Unicode MS" w:cs="Tahoma"/>
          <w:bCs/>
          <w:kern w:val="2"/>
          <w:sz w:val="24"/>
          <w:szCs w:val="29"/>
        </w:rPr>
        <w:t>Димитриевская</w:t>
      </w:r>
      <w:proofErr w:type="spellEnd"/>
      <w:r>
        <w:rPr>
          <w:rFonts w:eastAsia="Arial Unicode MS" w:cs="Tahoma"/>
          <w:bCs/>
          <w:kern w:val="2"/>
          <w:sz w:val="24"/>
          <w:szCs w:val="29"/>
        </w:rPr>
        <w:t xml:space="preserve"> суббота                 в Югре».</w:t>
      </w:r>
      <w:proofErr w:type="gramEnd"/>
    </w:p>
    <w:p w:rsid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Развитие сотрудничества с некоммерческими организациями способствует расширению спектра предоставляемых населению услуг в сфере культуры, правовому просвещению граждан. В муниципальной программе предусмотрена финансовая поддержка социально ориентированных некоммерческих организаций на реализацию творческих проектов                             с проведением культурно-массовых мероприятий.</w:t>
      </w:r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Финансовая поддержка в форме предоставления субсидий негосударственным организациям, в том числе социально ориентированным некоммерческим организациям,                   на финансовое обеспечение затрат, связанных с оказанием услуг в сфере культуры со стороны органов местного самоуправления станет импульсом для развития негосударственного сектора экономики города, позволит повысить качество предоставляемых услуг населению и обеспечит разнообразие социальных услуг в сфере культуры города.</w:t>
      </w:r>
      <w:proofErr w:type="gramEnd"/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1.2. </w:t>
      </w:r>
      <w:proofErr w:type="gramStart"/>
      <w:r>
        <w:rPr>
          <w:sz w:val="24"/>
          <w:szCs w:val="24"/>
          <w:lang w:eastAsia="ru-RU"/>
        </w:rPr>
        <w:t>О</w:t>
      </w:r>
      <w:r>
        <w:rPr>
          <w:sz w:val="24"/>
          <w:szCs w:val="24"/>
        </w:rPr>
        <w:t>сновным инструментом для формирования и реализации конкурентной политики            в Ханты – Мансийском автономном округе - Югре является План мероприятий «дорожная карта» по содействию развитию конкуренции в Ханты – Мансийском автономном                     округе – Югре, утвержденный распоряжением Губернатора Ханты – Мансийского автономного округа – Югры от 01.08.2019 № 162-рг, в котором определены приоритетные и социально значимые рынки товаров и услуг автономного округа, в том числе рынок услуг в сфере</w:t>
      </w:r>
      <w:proofErr w:type="gramEnd"/>
      <w:r>
        <w:rPr>
          <w:sz w:val="24"/>
          <w:szCs w:val="24"/>
        </w:rPr>
        <w:t xml:space="preserve"> культуры.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2016 году заключено соглашение между Правительством Ханты - Мансийского автономного округа - Югры и органами местного самоуправления городских округов                        и муниципальных районов автономного округа по внедрению в автономном округе стандарта развития конкуренции.</w:t>
      </w:r>
    </w:p>
    <w:p w:rsidR="00572DC2" w:rsidRDefault="00572DC2" w:rsidP="00572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муниципальную программу включены мероприятия, направленные на: создание условий для повышения конкурентоспособности организаций различных форм собственности, осуществляющих предоставление услуг в сфере культуры; улучшение доступа к оказанию услуг их поставщиками, учитывая необходимость повышения качества и привлекательности услуг для потребителей; доступность культурных благ для населения. </w:t>
      </w:r>
    </w:p>
    <w:p w:rsidR="00572DC2" w:rsidRDefault="00572DC2" w:rsidP="00572DC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Управление культуры администрации города Югорска оказывает поддержку социально ориентированным некоммерческим организациям, осуществляющим общественно полезные услуги в сфере культуры, путем предоставления субсидий.</w:t>
      </w:r>
    </w:p>
    <w:p w:rsidR="00572DC2" w:rsidRDefault="00572DC2" w:rsidP="00572DC2">
      <w:pPr>
        <w:suppressAutoHyphens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 целью обеспечения доступа негосударственного сектора к бюджетному финансированию разработана система персонифицированного финансирования дополнительного образования детей (Сертификат дополнительного образования). С 2018 года услуги дополнительного образования, финансируемые за счет средств бюджета города, оказываются на основе сертификата дополнительного образования.</w:t>
      </w:r>
    </w:p>
    <w:p w:rsidR="00572DC2" w:rsidRDefault="00572DC2" w:rsidP="00572DC2">
      <w:pPr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 xml:space="preserve">1.3. </w:t>
      </w:r>
      <w:r>
        <w:rPr>
          <w:rFonts w:eastAsia="Calibri"/>
          <w:sz w:val="24"/>
          <w:szCs w:val="24"/>
          <w:lang w:eastAsia="en-US"/>
        </w:rPr>
        <w:t>Работа органов местного самоуправления в области развития предпринимательства должна быть направлена на создание оптимальных правовых, экономических и социальных условий его функционирования. Развитие предпринимательства позволит увеличить экономический потенциал территории, эффективно использовать имеющиеся трудовые, материально-технические и сырьевые ресурсы, привлечь к взаимовыгодному сотрудничеству инвесторов из других городов автономного округа, регионов России.</w:t>
      </w:r>
    </w:p>
    <w:p w:rsidR="00572DC2" w:rsidRDefault="00572DC2" w:rsidP="00572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Создание благоприятных условий для ведения предпринимательской деятельности осуществляется за счет</w:t>
      </w:r>
      <w:r>
        <w:rPr>
          <w:sz w:val="24"/>
          <w:szCs w:val="24"/>
        </w:rPr>
        <w:t xml:space="preserve"> реализации мероприятий программы </w:t>
      </w:r>
      <w:proofErr w:type="gramStart"/>
      <w:r>
        <w:rPr>
          <w:sz w:val="24"/>
          <w:szCs w:val="24"/>
        </w:rPr>
        <w:t>исполнители</w:t>
      </w:r>
      <w:proofErr w:type="gramEnd"/>
      <w:r>
        <w:rPr>
          <w:sz w:val="24"/>
          <w:szCs w:val="24"/>
        </w:rPr>
        <w:t xml:space="preserve"> и соисполнители </w:t>
      </w:r>
      <w:r>
        <w:rPr>
          <w:sz w:val="24"/>
          <w:szCs w:val="24"/>
        </w:rPr>
        <w:lastRenderedPageBreak/>
        <w:t>осуществляют закупку товаров, услуг, работ для муниципальных нужд в соответствии                        с законодательством Российской Федерации.</w:t>
      </w:r>
    </w:p>
    <w:p w:rsidR="00572DC2" w:rsidRDefault="00572DC2" w:rsidP="00572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1.4. Повышение производительности труда:  повышение производительности труда отрасли «Культура» осуществляется за счет:</w:t>
      </w:r>
    </w:p>
    <w:p w:rsid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внедрения и применения технологий бережливого производства, в том числе в процессы управления реализацией мероприятий;</w:t>
      </w:r>
    </w:p>
    <w:p w:rsid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мониторинга исполнения муниципальных заданий учреждений культуры;</w:t>
      </w:r>
    </w:p>
    <w:p w:rsid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стимулирования целенаправленного, непрерывного повышения уровня квалификации работников культуры, профессионального и личностного роста;</w:t>
      </w:r>
    </w:p>
    <w:p w:rsid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внедрения цифровых технологий, автоматизированных информационных систем управления организаций культуры, перевода услуг в цифровой вид.</w:t>
      </w:r>
    </w:p>
    <w:p w:rsidR="00572DC2" w:rsidRDefault="00572DC2" w:rsidP="00572DC2">
      <w:pPr>
        <w:suppressAutoHyphens w:val="0"/>
        <w:rPr>
          <w:b/>
          <w:color w:val="000000"/>
          <w:sz w:val="24"/>
          <w:szCs w:val="24"/>
        </w:rPr>
      </w:pPr>
    </w:p>
    <w:p w:rsidR="00572DC2" w:rsidRDefault="00572DC2" w:rsidP="00572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2. Характеристика основных мероприятий муниципальной программы</w:t>
      </w:r>
    </w:p>
    <w:p w:rsidR="00572DC2" w:rsidRDefault="00572DC2" w:rsidP="00572DC2">
      <w:pPr>
        <w:ind w:firstLine="708"/>
        <w:jc w:val="both"/>
        <w:rPr>
          <w:sz w:val="24"/>
          <w:szCs w:val="24"/>
        </w:rPr>
      </w:pPr>
    </w:p>
    <w:p w:rsidR="00572DC2" w:rsidRDefault="00572DC2" w:rsidP="00572DC2">
      <w:pPr>
        <w:suppressAutoHyphens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реализацию целей и задач муниципальной программы направлены 12 основных программных мероприятий, отражающие актуальные и перспективные направления культурной политики, в целях достижения показателей, в том числе установленных в Указах Президента Российской Федерации: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Для реализации подпрограммы </w:t>
      </w:r>
      <w:r>
        <w:rPr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  <w:lang w:eastAsia="ru-RU"/>
        </w:rPr>
        <w:t xml:space="preserve"> «Модернизация и развитие учреждений и организаций культуры» планируется посредством исполнения следующих основных мероприятий:</w:t>
      </w:r>
    </w:p>
    <w:p w:rsidR="00572DC2" w:rsidRDefault="00572DC2" w:rsidP="00572DC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Мероприятие 1.1</w:t>
      </w:r>
      <w:r>
        <w:rPr>
          <w:sz w:val="24"/>
          <w:szCs w:val="24"/>
        </w:rPr>
        <w:tab/>
        <w:t xml:space="preserve">«Развитие библиотечного дела» </w:t>
      </w:r>
      <w:r>
        <w:rPr>
          <w:rFonts w:eastAsia="Calibri"/>
          <w:sz w:val="24"/>
          <w:szCs w:val="24"/>
          <w:lang w:eastAsia="ru-RU"/>
        </w:rPr>
        <w:t>включающее организацию деятельности подведомственного муниципального учреждения МБУ «ЦБС г. Югорска»                           и финансовое обеспечение выполнения им муниципального задания, субсидии на иные цели; осуществление МБУ «ЦБС г. Югорска» библиотечного обслуживания населения; комплектования библиотечных фондов муниципальных библиотек; исполнение Плана мероприятий по реализации Концепции поддержки и развития чтения в автономном округе на 2018 – 2025 годы;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поддержка деятельности и отдельных направлений библиотечного обслуживания населения муниципальными библиотеками города Югорска, включая:                                                                        совершенствование информационных ресурсов и услуг; обеспечение доступа к сети Интернет           и сетевым ресурсам; автоматизацию деятельности и обновление оборудования; модернизацию детских библиотек; создание детских зон обслуживания; оцифровку фондов; развитие </w:t>
      </w:r>
      <w:proofErr w:type="spellStart"/>
      <w:r>
        <w:rPr>
          <w:rFonts w:eastAsia="Calibri"/>
          <w:sz w:val="24"/>
          <w:szCs w:val="24"/>
          <w:lang w:eastAsia="ru-RU"/>
        </w:rPr>
        <w:t>внестационарного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и удаленного библиотечного обслуживания.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Мероприятие 1.2. «Развитие музейного дела» предусматривает </w:t>
      </w:r>
      <w:r>
        <w:rPr>
          <w:sz w:val="24"/>
          <w:szCs w:val="24"/>
          <w:lang w:eastAsia="ru-RU"/>
        </w:rPr>
        <w:t xml:space="preserve">организация деятельности подведомственного муниципального учреждения МБУ «Музей истории                        и этнографии» и финансовое обеспечение выполнения им муниципального задания, субсидии на иные цели; представление фондовых коллекций музеев в постоянных экспозициях                           и временных выставках в музеях и за их пределами; организация и подготовка передвижных выставок; </w:t>
      </w:r>
      <w:proofErr w:type="gramStart"/>
      <w:r>
        <w:rPr>
          <w:sz w:val="24"/>
          <w:szCs w:val="24"/>
          <w:lang w:eastAsia="ru-RU"/>
        </w:rPr>
        <w:t xml:space="preserve">размещение материалов об отдельных предметах и коллекциях музеев                                   в Государственном каталоге и сети Интернет; систематическое и тематическое комплектование музейных коллекций и совершенствование их научного описания с целью представления                      в Государственном электронном каталоге; осуществление реставрационных и консервационных работ; интеграция деятельности МБУ «Музей истории и этнографии» путем осуществления </w:t>
      </w:r>
      <w:proofErr w:type="spellStart"/>
      <w:r>
        <w:rPr>
          <w:sz w:val="24"/>
          <w:szCs w:val="24"/>
          <w:lang w:eastAsia="ru-RU"/>
        </w:rPr>
        <w:t>межмузейных</w:t>
      </w:r>
      <w:proofErr w:type="spellEnd"/>
      <w:r>
        <w:rPr>
          <w:sz w:val="24"/>
          <w:szCs w:val="24"/>
          <w:lang w:eastAsia="ru-RU"/>
        </w:rPr>
        <w:t xml:space="preserve"> выставочных и культурно-образовательных проектов;</w:t>
      </w:r>
      <w:proofErr w:type="gramEnd"/>
      <w:r>
        <w:rPr>
          <w:sz w:val="24"/>
          <w:szCs w:val="24"/>
          <w:lang w:eastAsia="ru-RU"/>
        </w:rPr>
        <w:t xml:space="preserve"> внедрение новых культурно-просветительных программ и музейных проектов с целью привлечения посетителей; оцифровка музейных фондов; поддержка, развитие и популяризация краеведческих проектов.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1.3. </w:t>
      </w:r>
      <w:proofErr w:type="gramStart"/>
      <w:r>
        <w:rPr>
          <w:sz w:val="24"/>
          <w:szCs w:val="24"/>
          <w:lang w:eastAsia="ru-RU"/>
        </w:rPr>
        <w:t>«Укрепление материально-технической базы, капитальный ремонт                и ремонт учреждений в сфере культуры» предусматривает реализацию мероприятий направленных на проведение капитального ремонта, ремонта зданий муниципальных учреждений культуры и дополнительного образования в сфере культуры города Югорска для восстановления их основных физико-технических, эстетических и потребительских качеств, утраченных в процессе эксплуатации; развитие материально-технического состояния муниципальных учреждений культуры и дополнительного образования в сфере культуры города Югорска;</w:t>
      </w:r>
      <w:proofErr w:type="gramEnd"/>
      <w:r>
        <w:rPr>
          <w:sz w:val="24"/>
          <w:szCs w:val="24"/>
          <w:lang w:eastAsia="ru-RU"/>
        </w:rPr>
        <w:t xml:space="preserve"> устранение предписаний надзорных органов.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Мероприятие 1.4. «Участие в реализации регионального проекта «Культурная среда» предусматривает модернизацию Центральной городской библиотеки  им. А.И. </w:t>
      </w:r>
      <w:proofErr w:type="spellStart"/>
      <w:r>
        <w:rPr>
          <w:sz w:val="24"/>
          <w:szCs w:val="24"/>
          <w:lang w:eastAsia="ru-RU"/>
        </w:rPr>
        <w:t>Харизовой</w:t>
      </w:r>
      <w:proofErr w:type="spellEnd"/>
      <w:r>
        <w:rPr>
          <w:sz w:val="24"/>
          <w:szCs w:val="24"/>
          <w:lang w:eastAsia="ru-RU"/>
        </w:rPr>
        <w:t xml:space="preserve"> (комплектование книжных фондов, совершенствование информационных ресурсов и услуг; </w:t>
      </w:r>
      <w:r>
        <w:rPr>
          <w:sz w:val="24"/>
          <w:szCs w:val="24"/>
          <w:lang w:eastAsia="ru-RU"/>
        </w:rPr>
        <w:lastRenderedPageBreak/>
        <w:t xml:space="preserve">обеспечение доступа к сети Интернет и сетевым ресурсам; автоматизация деятельности                       и обновление оборудования; создание детских зон обслуживания; оцифровку фондов; развитие </w:t>
      </w:r>
      <w:proofErr w:type="spellStart"/>
      <w:r>
        <w:rPr>
          <w:sz w:val="24"/>
          <w:szCs w:val="24"/>
          <w:lang w:eastAsia="ru-RU"/>
        </w:rPr>
        <w:t>внестационарного</w:t>
      </w:r>
      <w:proofErr w:type="spellEnd"/>
      <w:r>
        <w:rPr>
          <w:sz w:val="24"/>
          <w:szCs w:val="24"/>
          <w:lang w:eastAsia="ru-RU"/>
        </w:rPr>
        <w:t xml:space="preserve"> и удаленного библиотечного обслуживания); обновление материально-технической базы </w:t>
      </w:r>
      <w:r>
        <w:rPr>
          <w:color w:val="000000"/>
          <w:sz w:val="24"/>
          <w:szCs w:val="24"/>
        </w:rPr>
        <w:t xml:space="preserve">МБУ </w:t>
      </w:r>
      <w:proofErr w:type="gramStart"/>
      <w:r>
        <w:rPr>
          <w:color w:val="000000"/>
          <w:sz w:val="24"/>
          <w:szCs w:val="24"/>
        </w:rPr>
        <w:t>ДО</w:t>
      </w:r>
      <w:proofErr w:type="gramEnd"/>
      <w:r>
        <w:rPr>
          <w:color w:val="000000"/>
          <w:sz w:val="24"/>
          <w:szCs w:val="24"/>
        </w:rPr>
        <w:t xml:space="preserve"> «</w:t>
      </w:r>
      <w:proofErr w:type="gramStart"/>
      <w:r>
        <w:rPr>
          <w:color w:val="000000"/>
          <w:sz w:val="24"/>
          <w:szCs w:val="24"/>
        </w:rPr>
        <w:t>Детская</w:t>
      </w:r>
      <w:proofErr w:type="gramEnd"/>
      <w:r>
        <w:rPr>
          <w:color w:val="000000"/>
          <w:sz w:val="24"/>
          <w:szCs w:val="24"/>
        </w:rPr>
        <w:t xml:space="preserve"> школа искусств»</w:t>
      </w:r>
      <w:r>
        <w:rPr>
          <w:color w:val="000000"/>
          <w:sz w:val="18"/>
          <w:szCs w:val="18"/>
        </w:rPr>
        <w:t xml:space="preserve"> </w:t>
      </w:r>
      <w:r>
        <w:rPr>
          <w:sz w:val="24"/>
          <w:szCs w:val="24"/>
          <w:lang w:eastAsia="ru-RU"/>
        </w:rPr>
        <w:t>(приобретение: музыкальных инструментов, оборудования и обучающих материалов).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  <w:lang w:eastAsia="ru-RU"/>
        </w:rPr>
        <w:t>Мероприятие 1.5. «</w:t>
      </w:r>
      <w:r>
        <w:rPr>
          <w:rFonts w:eastAsia="Calibri"/>
          <w:color w:val="000000"/>
          <w:sz w:val="24"/>
          <w:szCs w:val="24"/>
          <w:lang w:eastAsia="en-US"/>
        </w:rPr>
        <w:t>Участие в реализации регионального проекта «Цифровая культура» предусматривает создание виртуального концертного зала на базе Центра культуры                     «Югра-презент»; оцифровку книжных памятников и включение в Национальную электронную библиотеку; создание виртуальных выставочных проектов, снабженных цифровыми гидами                 в формате дополненной реальности.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Для реализации подпрограммы </w:t>
      </w:r>
      <w:r>
        <w:rPr>
          <w:sz w:val="24"/>
          <w:szCs w:val="24"/>
          <w:lang w:val="en-US"/>
        </w:rPr>
        <w:t>II</w:t>
      </w:r>
      <w:r>
        <w:rPr>
          <w:rFonts w:eastAsia="Calibri"/>
          <w:sz w:val="24"/>
          <w:szCs w:val="24"/>
          <w:lang w:eastAsia="ru-RU"/>
        </w:rPr>
        <w:t xml:space="preserve"> «Поддержка творческих инициатив, способствующих самореализации населения» планируется посредством исполнения следующих основных мероприятий: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Мероприятие 2.1.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«Поддержка одаренных детей и молодежи, развитие художественного образования» направлено на организацию деятельности подведомственного муниципального учреждения МБУ ДО «Детская школа искусств» и финансовое обеспечение выполнения                   им муниципального задания, субсидии на иные цели; реализация дополнительных предпрофессиональных и общеразвивающих программ в области искусства; выявление                       и сопровождение одаренных детей и молодежи в сфере культуры и искусства;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сохранение, возрождение и развитие народных художественных промыслов и ремесел в соответствии                     с распоряжением Правительства Российской Федерации от 14.12.2017 № 2800-р.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Мероприятие 2.2.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«Реализация муниципального проекта «Музейно-туристический комплекс «Ворота в Югру» направлено на возрождение и развитие народных художественных промыслов и ремесел в соответствии с распоряжением Правительства Российской Федерации от 14.12.2017 № 2800-р.; выявление, изучение, сохранение, развитие и популяризация объектов нематериального культурного наследия народов Российской Федерации в области традиционной народной культуры; сохранение нематериального и материального наследия                  и продвижение региональных культурных проектов.</w:t>
      </w:r>
      <w:proofErr w:type="gramEnd"/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Мероприятие 2.3. «Стимулирование культурного разнообразия в городе Югорске» предусматривает организацию деятельности подведомственного муниципального учреждения МАУ «ЦК «Югра-презент» и финансовое обеспечение выполнения им муниципального задания, субсидии на иные цели; организацию деятельности клубных формирований                            и формирований самодеятельного народного творчества; показ кино- и видеофильмов; организация и проведение фейерверков; проведение культурно-массовых мероприятий;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реализацию отдельных мероприятий муниципальной программы осуществляют социально ориентированные некоммерческие организации на основании услуг, утвержденных                             в соответствии с постановлением администрации города Югорска от 20.09.2016 № 2283                  «О перечне услуг в социальной сфере, планируемых к передаче негосударственным организациям (коммерческим, некоммерческим), в том числе социально ориентированным некоммерческим организациям», а именно: организация и проведение культурно-массовых мероприятий;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организация и проведение олимпиад, конкурсов, мероприятий, направленных               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Мероприятие 2.4. «Участие в реализации регионального проекта «Творческие люди» направлено на повышение квалификации работников отрасли культуры, в том числе на базе Центров непрерывного образования повышения квалификации творческих и управленческих кадров в сфере культуры, созданных на базе ведущих творческих ВУЗов.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 xml:space="preserve">Для реализации подпрограммы </w:t>
      </w:r>
      <w:r>
        <w:rPr>
          <w:sz w:val="24"/>
          <w:szCs w:val="24"/>
          <w:lang w:val="en-US"/>
        </w:rPr>
        <w:t>III</w:t>
      </w:r>
      <w:r>
        <w:rPr>
          <w:rFonts w:eastAsia="Calibri"/>
          <w:sz w:val="24"/>
          <w:szCs w:val="24"/>
          <w:lang w:eastAsia="ru-RU"/>
        </w:rPr>
        <w:t xml:space="preserve"> «Организационные, </w:t>
      </w:r>
      <w:proofErr w:type="gramStart"/>
      <w:r>
        <w:rPr>
          <w:rFonts w:eastAsia="Calibri"/>
          <w:sz w:val="24"/>
          <w:szCs w:val="24"/>
          <w:lang w:eastAsia="ru-RU"/>
        </w:rPr>
        <w:t>экономические механизмы</w:t>
      </w:r>
      <w:proofErr w:type="gramEnd"/>
      <w:r>
        <w:rPr>
          <w:rFonts w:eastAsia="Calibri"/>
          <w:sz w:val="24"/>
          <w:szCs w:val="24"/>
          <w:lang w:eastAsia="ru-RU"/>
        </w:rPr>
        <w:t xml:space="preserve"> развития культуры» планируется посредством исполнения следующих основных мероприятий: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Мероприятие 3.1. «Организационно-техническое и финансовое обеспечение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деятельности Управления культуры администрации города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Югорска» предполагает: организацию деятельности подведомственных муниципальных учреждений, формирование                  и утверждение муниципального задания на оказание муниципальных услуг в установленной сфере деятельности, проведение мониторинга выполнения муниципальных заданий; закупка </w:t>
      </w:r>
      <w:r>
        <w:rPr>
          <w:rFonts w:eastAsia="Calibri"/>
          <w:color w:val="000000"/>
          <w:sz w:val="24"/>
          <w:szCs w:val="24"/>
          <w:lang w:eastAsia="en-US"/>
        </w:rPr>
        <w:lastRenderedPageBreak/>
        <w:t>товара, работы, услуги для обеспечения муниципальных нужд (далее – закупка); осуществление функций главного распорядителя и получателя средств бюджета города Югорска, предусмотренных на содержание исполнительного органа и реализацию возложенных на него функций.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Мероприятие 3.2. «Освещение мероприятий в сфере культуры в  средствах массовой информации» направлено на реализацию проектов и мероприятий по внедрению                                 и сопровождению информационно-коммуникационных технологий в сферу культуры                            и на освещение мероприятий в сфере культуры в  средствах массовой информации.</w:t>
      </w:r>
    </w:p>
    <w:p w:rsidR="00572DC2" w:rsidRDefault="00572DC2" w:rsidP="00572DC2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Мероприятие 3.3. «Проведение независимой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оценки качества условий оказания услуг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организациями культуры, в том числе негосударственными (коммерческими, некоммерческими)» предусматривает проведение независимой оценки качества условий оказания услуг организациями культуры, в том числе негосударственными (коммерческими, некоммерческими).</w:t>
      </w:r>
    </w:p>
    <w:p w:rsidR="00572DC2" w:rsidRDefault="00572DC2" w:rsidP="00572DC2">
      <w:pPr>
        <w:ind w:firstLine="709"/>
        <w:jc w:val="both"/>
        <w:rPr>
          <w:b/>
          <w:sz w:val="24"/>
          <w:szCs w:val="24"/>
        </w:rPr>
      </w:pPr>
    </w:p>
    <w:p w:rsidR="00572DC2" w:rsidRDefault="00572DC2" w:rsidP="00572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3. Механизм реализации мероприятий муниципальной программы</w:t>
      </w:r>
    </w:p>
    <w:p w:rsidR="00572DC2" w:rsidRDefault="00572DC2" w:rsidP="00572DC2"/>
    <w:p w:rsidR="00572DC2" w:rsidRDefault="00572DC2" w:rsidP="00572DC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Управление муниципальной программой осуществляет ее ответственный исполнитель – Управление культуры администрации города Югорска.</w:t>
      </w:r>
    </w:p>
    <w:p w:rsidR="00572DC2" w:rsidRDefault="00572DC2" w:rsidP="00572DC2">
      <w:pPr>
        <w:ind w:firstLine="709"/>
        <w:jc w:val="both"/>
        <w:rPr>
          <w:rFonts w:eastAsia="Andale Sans UI"/>
          <w:kern w:val="2"/>
          <w:sz w:val="24"/>
          <w:szCs w:val="24"/>
        </w:rPr>
      </w:pPr>
      <w:r>
        <w:rPr>
          <w:sz w:val="24"/>
          <w:szCs w:val="24"/>
        </w:rPr>
        <w:t xml:space="preserve">Управление культуры </w:t>
      </w:r>
      <w:r>
        <w:rPr>
          <w:rFonts w:eastAsia="Andale Sans UI"/>
          <w:kern w:val="2"/>
          <w:sz w:val="24"/>
          <w:szCs w:val="24"/>
        </w:rPr>
        <w:t xml:space="preserve">является главным распорядителем бюджетных средств                             в отношении подведомственных учреждений </w:t>
      </w:r>
      <w:r>
        <w:rPr>
          <w:sz w:val="24"/>
          <w:szCs w:val="24"/>
        </w:rPr>
        <w:t xml:space="preserve">(далее – муниципальные учреждения культуры): </w:t>
      </w:r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автономное учреждение «Центр культуры «Югра-презент»;</w:t>
      </w:r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«Музей истории и этнографии»;</w:t>
      </w:r>
    </w:p>
    <w:p w:rsidR="00572DC2" w:rsidRDefault="00572DC2" w:rsidP="00572DC2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«Централизованная библиотечная система                  г. Югорска»;</w:t>
      </w:r>
    </w:p>
    <w:p w:rsidR="00572DC2" w:rsidRDefault="00572DC2" w:rsidP="00572DC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муниципальное бюджетное учреждение дополнительного образования «Детская школа искусств города Югорска».</w:t>
      </w:r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культуры может передать часть функций по организации программных мероприятий муниципальным учреждениям культуры города Югорска, в случае если эти функции соответствуют уставу муниципального учреждения и включены в его муниципальное задание при формировании бюджета на очередной финансовый год и плановый период.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3.2. Механизм реализации муниципальной программы включает:</w:t>
      </w:r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реализацию программных мероприятий, входящих в структуру мероприятий государственной программы Ханты-Мансийского автономного округа – Югры «Культурное пространство» осуществляется на основе заключаемого Соглашения между администрацией города Югорска и Департаментом культуры Ханты-Мансийского автономного округа – Югры путем предоставления межбюджетных трансфертов в форме межбюджетных субсидий              (далее – субсидии).</w:t>
      </w:r>
    </w:p>
    <w:p w:rsidR="00572DC2" w:rsidRDefault="00572DC2" w:rsidP="00572DC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целевым использованием средств, предоставленных городу </w:t>
      </w:r>
      <w:proofErr w:type="spellStart"/>
      <w:r>
        <w:rPr>
          <w:rFonts w:eastAsia="Calibri"/>
          <w:sz w:val="24"/>
          <w:szCs w:val="24"/>
        </w:rPr>
        <w:t>Югорску</w:t>
      </w:r>
      <w:proofErr w:type="spellEnd"/>
      <w:r>
        <w:rPr>
          <w:rFonts w:eastAsia="Calibri"/>
          <w:sz w:val="24"/>
          <w:szCs w:val="24"/>
        </w:rPr>
        <w:t xml:space="preserve">                        из бюджета автономного округа, осуществляется Департаментом культуры                                  Ханты-Мансийского автономного округа – Югры.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Оценка реализации муниципальной программы осуществляется за каждый отчетный финансовый год и за весь период ее реализации в соответствии с </w:t>
      </w:r>
      <w:hyperlink r:id="rId7" w:history="1">
        <w:r w:rsidRPr="00572DC2">
          <w:rPr>
            <w:rStyle w:val="a9"/>
            <w:color w:val="000000"/>
            <w:sz w:val="24"/>
            <w:szCs w:val="24"/>
            <w:u w:val="none"/>
          </w:rPr>
          <w:t>методикой</w:t>
        </w:r>
      </w:hyperlink>
      <w:r w:rsidRPr="00572DC2">
        <w:rPr>
          <w:sz w:val="24"/>
          <w:szCs w:val="24"/>
        </w:rPr>
        <w:t xml:space="preserve"> оц</w:t>
      </w:r>
      <w:r>
        <w:rPr>
          <w:sz w:val="24"/>
          <w:szCs w:val="24"/>
        </w:rPr>
        <w:t>енки эффективности реализации муниципальной программы, утвержденной муниципальным правовым актом города Югорска.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На достижение целей и задач муниципальной программы могут оказывать влияние следующие риски: правовые, финансовые и административные (таблица 5).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Оценка хода исполнения мероприятий муниципальной  программы основана                         на мониторинге достижения ее целевых показателей путем сопоставления фактически достигнутых результатов реализации и целевых значений показателей. В соответствии                      с данными мониторинга по фактически достигнутым результатам реализации муниципальной программы, а также в случае выявления лучших практик реализации ее программных мероприятий могут быть внесены соответствующие корректировки.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3.3. Применение инструментов «бережливого производства» путем применения энергосберегающих технологий, повышения прозрачности и открытости деятельности муниципальных учреждений, формирования культуры бережливых процессов, повышения квалификации работников муниципальных учреждений (обучающие семинары, курсы </w:t>
      </w:r>
      <w:r>
        <w:rPr>
          <w:sz w:val="24"/>
          <w:szCs w:val="24"/>
        </w:rPr>
        <w:lastRenderedPageBreak/>
        <w:t>повышения квалификации).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3.4. Одним из основных механизмов реализации муниципальной программы является проектное управление, позволяющее обеспечить своевременное достижение запланированных результатов, повысить эффективность использования ресурсов, обеспечить прозрачность, обоснованность и своевременность принимаемых решений, повысить эффективность внутриведомственного взаимодействия, в том числе реализацию портфеля проектов «Культура»;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обеспечение управления муниципальной программой, эффективное использование денежных средств, выделенных на ее реализацию;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уточнение перечня основных мероприятий муниципальной программы на очередной финансовый год и плановый период, а также затрат по ним в соответствии с мониторингом фактически достигнутых результатов и целевых показателей ее </w:t>
      </w:r>
      <w:r>
        <w:rPr>
          <w:color w:val="000000"/>
          <w:sz w:val="24"/>
          <w:szCs w:val="24"/>
        </w:rPr>
        <w:t>реализации;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информирование общественности о ходе и результатах реализации муниципальной программы, финансирование ее основных мероприятий;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систематическое направление календарных планов культурных мероприятий муниципальных учреждений в </w:t>
      </w:r>
      <w:r>
        <w:rPr>
          <w:rFonts w:eastAsia="Andale Sans UI"/>
          <w:kern w:val="2"/>
          <w:sz w:val="24"/>
          <w:szCs w:val="24"/>
        </w:rPr>
        <w:t xml:space="preserve">отдел Министерства внутренних дел России по городу </w:t>
      </w:r>
      <w:proofErr w:type="spellStart"/>
      <w:r>
        <w:rPr>
          <w:rFonts w:eastAsia="Andale Sans UI"/>
          <w:kern w:val="2"/>
          <w:sz w:val="24"/>
          <w:szCs w:val="24"/>
        </w:rPr>
        <w:t>Югорску</w:t>
      </w:r>
      <w:proofErr w:type="spellEnd"/>
      <w:r>
        <w:rPr>
          <w:color w:val="000000"/>
          <w:sz w:val="24"/>
          <w:szCs w:val="24"/>
        </w:rPr>
        <w:t xml:space="preserve">, Югорскую межрайонную прокуратуру, с целью исполнения требований правовых актов                  по организации перевозок </w:t>
      </w:r>
      <w:proofErr w:type="gramStart"/>
      <w:r>
        <w:rPr>
          <w:color w:val="000000"/>
          <w:sz w:val="24"/>
          <w:szCs w:val="24"/>
        </w:rPr>
        <w:t>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Ханты-Мансийском</w:t>
      </w:r>
      <w:proofErr w:type="gramEnd"/>
      <w:r>
        <w:rPr>
          <w:color w:val="000000"/>
          <w:sz w:val="24"/>
          <w:szCs w:val="24"/>
        </w:rPr>
        <w:t xml:space="preserve"> автономном округе-Югре автотранспортными средствами организованных групп детей к месту проведения культурно-массовых мероприятий и обратно.</w:t>
      </w:r>
    </w:p>
    <w:p w:rsidR="00572DC2" w:rsidRDefault="00572DC2" w:rsidP="00572DC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Реализация муниципальной программы осуществляется путем:</w:t>
      </w:r>
    </w:p>
    <w:p w:rsidR="00572DC2" w:rsidRDefault="00572DC2" w:rsidP="00572DC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Заключения муниципальных контрактов на оказание услуг по созданию и размещению информации о деятельности органов местного самоуправления, социально-экономическом              и культурном развитии города Югорска в эфире телевизионного канала с зоной вещания                      в муниципальном образовании городской округ город </w:t>
      </w:r>
      <w:proofErr w:type="spellStart"/>
      <w:r>
        <w:rPr>
          <w:color w:val="000000"/>
          <w:sz w:val="24"/>
          <w:szCs w:val="24"/>
        </w:rPr>
        <w:t>Югорск</w:t>
      </w:r>
      <w:proofErr w:type="spellEnd"/>
      <w:r>
        <w:rPr>
          <w:color w:val="000000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572DC2" w:rsidRDefault="00572DC2" w:rsidP="00572DC2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Предоставления муниципальным учреждениям субсидии на выполнение муниципального задания на оказание муниципальных услуг (выполнение работ), в том числе            за счет средств федерального бюджета, бюджета Ханты-Мансийского автономного                  округа-Югры, местного бюджета, субсидии на иные цели.</w:t>
      </w:r>
    </w:p>
    <w:p w:rsidR="00572DC2" w:rsidRDefault="00572DC2" w:rsidP="00572DC2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>
        <w:rPr>
          <w:sz w:val="24"/>
          <w:szCs w:val="24"/>
        </w:rPr>
        <w:t xml:space="preserve">Предоставления грантов в форме субсидии социально ориентированным некоммерческим организациям, в том числе на реализацию отдельных мероприятий,                   в соответствии со </w:t>
      </w:r>
      <w:hyperlink r:id="rId8" w:history="1">
        <w:r w:rsidRPr="00572DC2">
          <w:rPr>
            <w:rStyle w:val="a9"/>
            <w:color w:val="000000"/>
            <w:sz w:val="24"/>
            <w:szCs w:val="24"/>
            <w:u w:val="none"/>
          </w:rPr>
          <w:t>статьей 78.1</w:t>
        </w:r>
      </w:hyperlink>
      <w:r>
        <w:rPr>
          <w:sz w:val="24"/>
          <w:szCs w:val="24"/>
        </w:rPr>
        <w:t xml:space="preserve"> Бюджетного кодекса Российской Федерации.</w:t>
      </w:r>
    </w:p>
    <w:p w:rsidR="00572DC2" w:rsidRDefault="00572DC2" w:rsidP="00572DC2">
      <w:pPr>
        <w:widowControl w:val="0"/>
        <w:autoSpaceDE w:val="0"/>
        <w:autoSpaceDN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течение срока ее реализации приведены в </w:t>
      </w:r>
      <w:r w:rsidRPr="00572DC2">
        <w:rPr>
          <w:color w:val="000000"/>
          <w:sz w:val="24"/>
          <w:szCs w:val="24"/>
        </w:rPr>
        <w:t>таблице 4</w:t>
      </w:r>
      <w:r w:rsidRPr="00572DC2">
        <w:rPr>
          <w:sz w:val="24"/>
          <w:szCs w:val="24"/>
        </w:rPr>
        <w:t>.</w:t>
      </w:r>
    </w:p>
    <w:p w:rsidR="00572DC2" w:rsidRDefault="00572DC2" w:rsidP="00572DC2">
      <w:pPr>
        <w:suppressAutoHyphens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В целях эффективного исполнения поручений Президента Российской Федерации, при заключении соглашений (договоров) с органами исполнительной власти автономного округа, администрации города Югорска о предоставлении субсидии в целях </w:t>
      </w:r>
      <w:proofErr w:type="spellStart"/>
      <w:r>
        <w:rPr>
          <w:rFonts w:eastAsia="Calibri"/>
          <w:sz w:val="24"/>
          <w:szCs w:val="24"/>
          <w:lang w:eastAsia="en-US"/>
        </w:rPr>
        <w:t>софинансирования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расходных обязательств муниципального образования, связанных с обеспечением реализации мероприятий муниципальной программы, администрация  города Югорска планирует средства на реализацию таких мероприятий при формировании бюджета на очередной финансовый год        и плановый период.</w:t>
      </w:r>
      <w:proofErr w:type="gramEnd"/>
    </w:p>
    <w:p w:rsidR="00572DC2" w:rsidRDefault="00572DC2" w:rsidP="00572DC2">
      <w:pPr>
        <w:tabs>
          <w:tab w:val="left" w:pos="1134"/>
        </w:tabs>
        <w:suppressAutoHyphens w:val="0"/>
        <w:autoSpaceDE w:val="0"/>
        <w:autoSpaceDN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Оценка хода исполнения программных мероприятий основана на мониторинге ожидаемых результатов ее реализации путем </w:t>
      </w:r>
      <w:proofErr w:type="gramStart"/>
      <w:r>
        <w:rPr>
          <w:rFonts w:eastAsia="Calibri"/>
          <w:sz w:val="24"/>
          <w:szCs w:val="24"/>
          <w:lang w:eastAsia="en-US"/>
        </w:rPr>
        <w:t>сопоставления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фактически достигнутых                             и целевых значений показателей (таблица 1), а также на результатах социологических исследований. В соответствии с данными мониторинга по фактически достигнутым результатам реализации, по результатам социологических исследований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              с оптимизацией этих мероприятий.</w:t>
      </w:r>
    </w:p>
    <w:p w:rsidR="007549D8" w:rsidRDefault="007549D8" w:rsidP="007F4A15">
      <w:pPr>
        <w:jc w:val="both"/>
        <w:rPr>
          <w:sz w:val="24"/>
          <w:szCs w:val="24"/>
        </w:rPr>
      </w:pPr>
    </w:p>
    <w:p w:rsidR="00572DC2" w:rsidRDefault="00572DC2" w:rsidP="007F4A15">
      <w:pPr>
        <w:jc w:val="both"/>
        <w:rPr>
          <w:sz w:val="24"/>
          <w:szCs w:val="24"/>
        </w:rPr>
      </w:pPr>
    </w:p>
    <w:p w:rsidR="00572DC2" w:rsidRDefault="00572DC2" w:rsidP="007F4A15">
      <w:pPr>
        <w:jc w:val="both"/>
        <w:rPr>
          <w:sz w:val="24"/>
          <w:szCs w:val="24"/>
        </w:rPr>
      </w:pPr>
    </w:p>
    <w:p w:rsidR="00572DC2" w:rsidRDefault="00572DC2" w:rsidP="007F4A15">
      <w:pPr>
        <w:jc w:val="both"/>
        <w:rPr>
          <w:sz w:val="24"/>
          <w:szCs w:val="24"/>
        </w:rPr>
      </w:pPr>
    </w:p>
    <w:p w:rsidR="00572DC2" w:rsidRDefault="00572DC2" w:rsidP="007F4A15">
      <w:pPr>
        <w:jc w:val="both"/>
        <w:rPr>
          <w:sz w:val="24"/>
          <w:szCs w:val="24"/>
        </w:rPr>
      </w:pPr>
    </w:p>
    <w:p w:rsidR="00572DC2" w:rsidRDefault="00572DC2" w:rsidP="007F4A15">
      <w:pPr>
        <w:jc w:val="both"/>
        <w:rPr>
          <w:sz w:val="24"/>
          <w:szCs w:val="24"/>
        </w:rPr>
        <w:sectPr w:rsidR="00572DC2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572DC2" w:rsidRDefault="00572DC2" w:rsidP="00572DC2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1</w:t>
      </w:r>
    </w:p>
    <w:p w:rsidR="00572DC2" w:rsidRDefault="00572DC2" w:rsidP="00572DC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Целевые показатели муниципальной программы</w:t>
      </w:r>
    </w:p>
    <w:p w:rsidR="00572DC2" w:rsidRDefault="00572DC2" w:rsidP="00572DC2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tblpX="137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401"/>
        <w:gridCol w:w="992"/>
        <w:gridCol w:w="1656"/>
        <w:gridCol w:w="898"/>
        <w:gridCol w:w="992"/>
        <w:gridCol w:w="992"/>
        <w:gridCol w:w="993"/>
        <w:gridCol w:w="992"/>
        <w:gridCol w:w="992"/>
        <w:gridCol w:w="992"/>
        <w:gridCol w:w="1843"/>
      </w:tblGrid>
      <w:tr w:rsidR="00572DC2" w:rsidRPr="00572DC2" w:rsidTr="00572DC2"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№ показателя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Наименование целевых показателей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Ед. измерения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 xml:space="preserve">Базовый показатель </w:t>
            </w:r>
          </w:p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на начало реализации муниципальной программы</w:t>
            </w:r>
          </w:p>
        </w:tc>
        <w:tc>
          <w:tcPr>
            <w:tcW w:w="6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Значения показателя по годам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 xml:space="preserve">Целевое значение показателя </w:t>
            </w:r>
          </w:p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на момент окончания реализации муниципальной программы</w:t>
            </w:r>
          </w:p>
        </w:tc>
      </w:tr>
      <w:tr w:rsidR="00572DC2" w:rsidRPr="00572DC2" w:rsidTr="00572DC2">
        <w:trPr>
          <w:trHeight w:val="298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</w:p>
        </w:tc>
      </w:tr>
      <w:tr w:rsidR="00572DC2" w:rsidRPr="00572DC2" w:rsidTr="00572D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3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</w:t>
            </w:r>
          </w:p>
        </w:tc>
      </w:tr>
      <w:tr w:rsidR="00572DC2" w:rsidRPr="00572DC2" w:rsidTr="00572DC2">
        <w:trPr>
          <w:trHeight w:val="943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both"/>
            </w:pPr>
            <w:r w:rsidRPr="00572DC2">
              <w:t>Число граждан, принимающих участие в культурной деятельности ¹,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116,185</w:t>
            </w:r>
          </w:p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119,264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121,367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123,586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125,793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128,163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130,569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130,569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133,612</w:t>
            </w:r>
          </w:p>
        </w:tc>
      </w:tr>
      <w:tr w:rsidR="00572DC2" w:rsidRPr="00572DC2" w:rsidTr="00572DC2">
        <w:trPr>
          <w:trHeight w:val="155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572DC2">
              <w:rPr>
                <w:rFonts w:eastAsia="Courier New"/>
              </w:rPr>
              <w:t>количество посещений общедоступных</w:t>
            </w:r>
          </w:p>
          <w:p w:rsidR="00572DC2" w:rsidRPr="00572DC2" w:rsidRDefault="00572DC2" w:rsidP="00572DC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572DC2">
              <w:rPr>
                <w:rFonts w:eastAsia="Courier New"/>
              </w:rPr>
              <w:t xml:space="preserve">(публичных) библиотек, а также культурно-массовых мероприятий, проводимых в библиотеках </w:t>
            </w:r>
            <w:r w:rsidRPr="00572DC2">
              <w:rPr>
                <w:rFonts w:eastAsia="Calibri"/>
                <w:lang w:eastAsia="en-US"/>
              </w:rPr>
              <w:t>(форма 6-НК)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82,623</w:t>
            </w:r>
          </w:p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84,813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86,308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87,886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89,456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91,141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92,852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92,852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95,016</w:t>
            </w:r>
          </w:p>
        </w:tc>
      </w:tr>
      <w:tr w:rsidR="00572DC2" w:rsidRPr="00572DC2" w:rsidTr="00572DC2">
        <w:trPr>
          <w:trHeight w:val="1120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572DC2">
              <w:rPr>
                <w:rFonts w:eastAsia="Courier New"/>
              </w:rPr>
              <w:t xml:space="preserve">количество посещений муниципальных и негосударственных организаций музейного типа </w:t>
            </w:r>
            <w:r w:rsidRPr="00572DC2">
              <w:rPr>
                <w:rFonts w:eastAsia="Calibri"/>
                <w:lang w:eastAsia="en-US"/>
              </w:rPr>
              <w:t>(форма 8-НК)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16,800</w:t>
            </w:r>
          </w:p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17,245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17,549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17,870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18,189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18,880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19,320</w:t>
            </w:r>
          </w:p>
        </w:tc>
      </w:tr>
      <w:tr w:rsidR="00572DC2" w:rsidRPr="00572DC2" w:rsidTr="00572DC2">
        <w:trPr>
          <w:trHeight w:val="1136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572DC2">
              <w:rPr>
                <w:rFonts w:eastAsia="Courier New"/>
              </w:rPr>
              <w:t>количество посещений платных культурно-массовых</w:t>
            </w:r>
          </w:p>
          <w:p w:rsidR="00572DC2" w:rsidRPr="00572DC2" w:rsidRDefault="00572DC2" w:rsidP="00572DC2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572DC2">
              <w:rPr>
                <w:rFonts w:eastAsia="Courier New"/>
              </w:rPr>
              <w:t xml:space="preserve">мероприятий клубов и домов культуры </w:t>
            </w:r>
            <w:r w:rsidRPr="00572DC2">
              <w:t>(ф</w:t>
            </w:r>
            <w:r w:rsidRPr="00572DC2">
              <w:rPr>
                <w:rFonts w:eastAsia="Calibri"/>
                <w:lang w:eastAsia="en-US"/>
              </w:rPr>
              <w:t>орма 7-НК)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16,762</w:t>
            </w:r>
          </w:p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тыс. человек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17,206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17,510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17,830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18,148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18,837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18,837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19,276</w:t>
            </w:r>
          </w:p>
        </w:tc>
      </w:tr>
      <w:tr w:rsidR="00572DC2" w:rsidRPr="00572DC2" w:rsidTr="00572DC2">
        <w:trPr>
          <w:trHeight w:val="37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suppressAutoHyphens w:val="0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both"/>
            </w:pPr>
            <w:r w:rsidRPr="00572DC2">
              <w:t>проценты к базовому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процент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100%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4,46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6,37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8,27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10,31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12,38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15,0</w:t>
            </w:r>
          </w:p>
        </w:tc>
      </w:tr>
      <w:tr w:rsidR="00572DC2" w:rsidRPr="00572DC2" w:rsidTr="00572DC2">
        <w:trPr>
          <w:trHeight w:val="15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both"/>
            </w:pPr>
            <w:r w:rsidRPr="00572DC2">
              <w:t>Доля негосударственных, в том числе некоммерческих организаций, предоставляющих услуги в сфере культуры, в общем числе организаций, предоставляющих услуги в сфере культуры 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процент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26</w:t>
            </w:r>
          </w:p>
        </w:tc>
      </w:tr>
      <w:tr w:rsidR="00572DC2" w:rsidRPr="00572DC2" w:rsidTr="00572D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lastRenderedPageBreak/>
              <w:t>3.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both"/>
            </w:pPr>
            <w:r w:rsidRPr="00572DC2">
              <w:t xml:space="preserve">Доля граждан, получивших услуги            в негосударственных, в том числе некоммерческих, организациях,                  в общем числе граждан, получивших услуги в сфере культуры 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процент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6</w:t>
            </w:r>
          </w:p>
        </w:tc>
      </w:tr>
      <w:tr w:rsidR="00572DC2" w:rsidRPr="00572DC2" w:rsidTr="00572DC2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widowControl w:val="0"/>
              <w:autoSpaceDE w:val="0"/>
              <w:autoSpaceDN w:val="0"/>
              <w:jc w:val="center"/>
            </w:pPr>
            <w:r w:rsidRPr="00572DC2"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DC2" w:rsidRPr="00572DC2" w:rsidRDefault="00572DC2" w:rsidP="00572DC2">
            <w:pPr>
              <w:shd w:val="clear" w:color="auto" w:fill="FFFFFF"/>
              <w:jc w:val="both"/>
              <w:rPr>
                <w:rFonts w:eastAsia="Calibri"/>
                <w:lang w:eastAsia="en-US"/>
              </w:rPr>
            </w:pPr>
            <w:r w:rsidRPr="00572DC2">
              <w:t xml:space="preserve">Число </w:t>
            </w:r>
            <w:proofErr w:type="gramStart"/>
            <w:r w:rsidRPr="00572DC2">
              <w:t>обучающихся</w:t>
            </w:r>
            <w:proofErr w:type="gramEnd"/>
            <w:r w:rsidRPr="00572DC2">
              <w:t xml:space="preserve">                                по дополнительным предпрофессиональным, дополнительным общеразвивающим программам в области искусства¹  </w:t>
            </w:r>
          </w:p>
          <w:p w:rsidR="00572DC2" w:rsidRPr="00572DC2" w:rsidRDefault="00572DC2" w:rsidP="00572DC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72DC2">
              <w:rPr>
                <w:rFonts w:eastAsia="Calibri"/>
                <w:lang w:eastAsia="en-US"/>
              </w:rPr>
              <w:t>(форма статистической отчетности №1-ДШИ «Сведения о детской музыкальной, художественной, хореографической школе и школе искусств»)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человек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Pr="00572DC2" w:rsidRDefault="00572DC2" w:rsidP="00572DC2">
            <w:pPr>
              <w:jc w:val="center"/>
            </w:pPr>
            <w:r w:rsidRPr="00572DC2">
              <w:t>962</w:t>
            </w:r>
          </w:p>
        </w:tc>
      </w:tr>
    </w:tbl>
    <w:p w:rsidR="00572DC2" w:rsidRDefault="00572DC2" w:rsidP="007F4A15">
      <w:pPr>
        <w:jc w:val="both"/>
        <w:rPr>
          <w:sz w:val="24"/>
          <w:szCs w:val="24"/>
        </w:rPr>
      </w:pPr>
    </w:p>
    <w:p w:rsidR="00572DC2" w:rsidRPr="00572DC2" w:rsidRDefault="00572DC2" w:rsidP="00572DC2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72DC2">
        <w:rPr>
          <w:sz w:val="24"/>
          <w:szCs w:val="24"/>
        </w:rPr>
        <w:t xml:space="preserve">¹ </w:t>
      </w:r>
      <w:hyperlink r:id="rId9" w:history="1">
        <w:r w:rsidRPr="00572DC2">
          <w:rPr>
            <w:rStyle w:val="a9"/>
            <w:color w:val="auto"/>
            <w:sz w:val="24"/>
            <w:szCs w:val="24"/>
            <w:u w:val="none"/>
          </w:rPr>
          <w:t>Указ</w:t>
        </w:r>
      </w:hyperlink>
      <w:r w:rsidRPr="00572DC2">
        <w:rPr>
          <w:sz w:val="24"/>
          <w:szCs w:val="24"/>
        </w:rPr>
        <w:t xml:space="preserve"> П</w:t>
      </w:r>
      <w:r w:rsidRPr="00572DC2">
        <w:rPr>
          <w:rFonts w:eastAsia="Calibri"/>
          <w:sz w:val="24"/>
          <w:szCs w:val="24"/>
          <w:lang w:eastAsia="en-US"/>
        </w:rPr>
        <w:t>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572DC2" w:rsidRPr="00572DC2" w:rsidRDefault="00572DC2" w:rsidP="00572DC2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bookmarkStart w:id="1" w:name="P446"/>
      <w:bookmarkEnd w:id="1"/>
      <w:r w:rsidRPr="00572DC2">
        <w:rPr>
          <w:sz w:val="24"/>
          <w:szCs w:val="24"/>
        </w:rPr>
        <w:t xml:space="preserve">² </w:t>
      </w:r>
      <w:hyperlink r:id="rId10" w:history="1">
        <w:r w:rsidRPr="00572DC2">
          <w:rPr>
            <w:rStyle w:val="a9"/>
            <w:color w:val="auto"/>
            <w:sz w:val="24"/>
            <w:szCs w:val="24"/>
            <w:u w:val="none"/>
          </w:rPr>
          <w:t>Указ</w:t>
        </w:r>
      </w:hyperlink>
      <w:r w:rsidRPr="00572DC2">
        <w:rPr>
          <w:sz w:val="24"/>
          <w:szCs w:val="24"/>
        </w:rPr>
        <w:t xml:space="preserve"> Президента Российской Федерации от 24.12.2014 № 808 «Об утверждении Основ государственной культурной политики»</w:t>
      </w:r>
    </w:p>
    <w:p w:rsidR="00572DC2" w:rsidRPr="00572DC2" w:rsidRDefault="00572DC2" w:rsidP="00572DC2">
      <w:pPr>
        <w:ind w:firstLine="709"/>
        <w:jc w:val="both"/>
        <w:rPr>
          <w:b/>
          <w:sz w:val="24"/>
          <w:szCs w:val="24"/>
        </w:rPr>
      </w:pPr>
    </w:p>
    <w:p w:rsidR="00572DC2" w:rsidRP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72DC2">
        <w:rPr>
          <w:sz w:val="24"/>
          <w:szCs w:val="24"/>
          <w:lang w:eastAsia="ru-RU"/>
        </w:rPr>
        <w:t>&lt;1&gt; Расчет показателя осуществляется в соответствии с формами статистической отчетности с учетом негосударственных организаций: 6-НК, 7-НК (количество посещений платных культурно-массовых мероприятий клубов и домов культуры, количество участников клубных формирований</w:t>
      </w:r>
      <w:r>
        <w:rPr>
          <w:sz w:val="24"/>
          <w:szCs w:val="24"/>
          <w:lang w:eastAsia="ru-RU"/>
        </w:rPr>
        <w:t xml:space="preserve">               </w:t>
      </w:r>
      <w:r w:rsidRPr="00572DC2">
        <w:rPr>
          <w:sz w:val="24"/>
          <w:szCs w:val="24"/>
          <w:lang w:eastAsia="ru-RU"/>
        </w:rPr>
        <w:t xml:space="preserve"> в отчетном году), 8-НК.</w:t>
      </w:r>
    </w:p>
    <w:p w:rsidR="00572DC2" w:rsidRP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72DC2">
        <w:rPr>
          <w:sz w:val="24"/>
          <w:szCs w:val="24"/>
          <w:lang w:eastAsia="ru-RU"/>
        </w:rPr>
        <w:t>&lt;2&gt; Расчет показателя осуществляется путем соотношения количества негосударственных организаций, предоставляющих услуги в сфере культуры, к общему количеству организаций, оказывающих услуги в сфере культуры.</w:t>
      </w:r>
    </w:p>
    <w:p w:rsidR="00572DC2" w:rsidRP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72DC2">
        <w:rPr>
          <w:sz w:val="24"/>
          <w:szCs w:val="24"/>
          <w:lang w:eastAsia="ru-RU"/>
        </w:rPr>
        <w:t>&lt;3&gt; Расчет показателя осуществляется путем соотношения количества граждан, получивших услуги в негосударственных, в том числе некоммерческих, организациях, к общему количеству граждан, получивших услуги в учреждениях культуры всех форм собственности.</w:t>
      </w:r>
    </w:p>
    <w:p w:rsidR="00572DC2" w:rsidRPr="00572DC2" w:rsidRDefault="00572DC2" w:rsidP="00572DC2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572DC2">
        <w:rPr>
          <w:sz w:val="24"/>
          <w:szCs w:val="24"/>
          <w:lang w:eastAsia="ru-RU"/>
        </w:rPr>
        <w:t>&lt;4&gt; Расчет показателя осуществляется в соответствии с формой статистической отчетности с учетом негосударственных организаций:</w:t>
      </w:r>
      <w:r>
        <w:rPr>
          <w:sz w:val="24"/>
          <w:szCs w:val="24"/>
          <w:lang w:eastAsia="ru-RU"/>
        </w:rPr>
        <w:t xml:space="preserve">                    </w:t>
      </w:r>
      <w:r w:rsidRPr="00572DC2">
        <w:rPr>
          <w:sz w:val="24"/>
          <w:szCs w:val="24"/>
          <w:lang w:eastAsia="ru-RU"/>
        </w:rPr>
        <w:t xml:space="preserve"> № 1ДШИ</w:t>
      </w: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572DC2" w:rsidRDefault="00572DC2" w:rsidP="00572DC2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lastRenderedPageBreak/>
        <w:t>Таблица 2</w:t>
      </w:r>
    </w:p>
    <w:p w:rsidR="00572DC2" w:rsidRDefault="00572DC2" w:rsidP="00572D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Распределение финансовых ресурсов муниципальной программы</w:t>
      </w:r>
    </w:p>
    <w:p w:rsidR="00572DC2" w:rsidRDefault="00572DC2" w:rsidP="00572DC2">
      <w:pPr>
        <w:jc w:val="both"/>
        <w:rPr>
          <w:sz w:val="24"/>
          <w:szCs w:val="24"/>
        </w:rPr>
      </w:pPr>
    </w:p>
    <w:tbl>
      <w:tblPr>
        <w:tblW w:w="156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0"/>
        <w:gridCol w:w="837"/>
        <w:gridCol w:w="1702"/>
        <w:gridCol w:w="1556"/>
        <w:gridCol w:w="1541"/>
        <w:gridCol w:w="1149"/>
        <w:gridCol w:w="993"/>
        <w:gridCol w:w="992"/>
        <w:gridCol w:w="992"/>
        <w:gridCol w:w="992"/>
        <w:gridCol w:w="993"/>
        <w:gridCol w:w="992"/>
        <w:gridCol w:w="1014"/>
        <w:gridCol w:w="1113"/>
      </w:tblGrid>
      <w:tr w:rsidR="00572DC2" w:rsidTr="00572DC2">
        <w:trPr>
          <w:trHeight w:val="705"/>
          <w:tblHeader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2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72DC2" w:rsidTr="00572DC2">
        <w:trPr>
          <w:trHeight w:val="300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0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572DC2" w:rsidTr="00572DC2">
        <w:trPr>
          <w:trHeight w:val="735"/>
          <w:tblHeader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2026 –2030</w:t>
            </w:r>
          </w:p>
        </w:tc>
      </w:tr>
      <w:tr w:rsidR="00572DC2" w:rsidTr="00572DC2">
        <w:trPr>
          <w:trHeight w:val="300"/>
          <w:tblHeader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 «Модернизация и развитие учреждений и организаций культуры»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библиотечного дела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383 523,4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31 436,9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tabs>
                <w:tab w:val="left" w:pos="536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32 410,3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32 241,3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32 241,3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31 899,2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31 899,2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31 899,2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159 496,0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376 851,2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30 191,0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31 668,2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31 499,2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31 499,2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31 499,2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31 499,2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157 496,0</w:t>
            </w:r>
          </w:p>
        </w:tc>
      </w:tr>
      <w:tr w:rsidR="00572DC2" w:rsidTr="00572DC2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Развитие музейного дела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264 016,5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21 051,2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22 112,3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22 085,3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110 426,5</w:t>
            </w:r>
          </w:p>
        </w:tc>
      </w:tr>
      <w:tr w:rsidR="00572DC2" w:rsidTr="00CF77B6">
        <w:trPr>
          <w:trHeight w:val="30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250 216,5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19 901,2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20 962,3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20 935,3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104 676,5</w:t>
            </w:r>
          </w:p>
        </w:tc>
      </w:tr>
      <w:tr w:rsidR="00572DC2" w:rsidTr="00572DC2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5 750,0</w:t>
            </w:r>
          </w:p>
        </w:tc>
      </w:tr>
      <w:tr w:rsidR="00572DC2" w:rsidTr="00572DC2">
        <w:trPr>
          <w:trHeight w:val="3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Укрепление материально-технической базы, капитальный ремонт и ремонт учреждений в сфере культуры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Югорска,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4 733,3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2 679,1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4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1 446,2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7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2 054,2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3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</w:pPr>
            <w: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9 148,1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9 148,1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«Культурная среда»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37 823,7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27 823,7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20 634,2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16 633,0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556,5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44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«Цифровая культура»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699 345,0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60 038,5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70 853,6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82 150,3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54 326,6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54 084,5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53 984,5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53 984,5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269 922,5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19 511,2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1 851,9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640 159,4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56 196,4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58 961,5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52 991,0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52 434,5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52 534,5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52 434,5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52 434,5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262 172,5</w:t>
            </w:r>
          </w:p>
        </w:tc>
      </w:tr>
      <w:tr w:rsidR="00572DC2" w:rsidTr="00572DC2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19 025,3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1 550,0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7 750,0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Подпрограмма II «Поддержка творческих инициатив, способствующих самореализации населения»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Поддержка одаренных детей и молодежи, развитие художественного образования (4)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1 098 400,5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89 114,5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92 026,0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91 726,0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458 630,0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5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1 007 335,8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81 514,5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84 438,3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84 138,3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420 691,5</w:t>
            </w:r>
          </w:p>
        </w:tc>
      </w:tr>
      <w:tr w:rsidR="00572DC2" w:rsidTr="00572DC2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91 064,7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7 587,7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37 938,5</w:t>
            </w:r>
          </w:p>
        </w:tc>
      </w:tr>
      <w:tr w:rsidR="00572DC2" w:rsidTr="00CF77B6">
        <w:trPr>
          <w:trHeight w:val="61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Реализация муниципального проекта «Музейно-туристический комплекс «Ворота в Югру»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5 000,0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Стимулирование культурного разнообразия в городе Югорске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1 294 506,1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106 227,1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110 903,5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110 213,5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114 254,0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106 613,5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106 613,5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106 613,5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533 067,5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4 367,9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1 145 813,2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94 359,2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98 828,5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98 138,5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98 179,0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94 538,5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94 538,5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94 538,5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472 692,5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144 325,0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12 075,0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60 375,0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63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«Творческие люди»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2 411 821,2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196 076,2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205 029,5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203 539,5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207 580,0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199 989,5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199 939,5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199 939,5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999 727,5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4 367,9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5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2 172 013,6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176 608,3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185 366,8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183 876,8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183 917,3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180 276,8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180 276,8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901 414,0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235 439,7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19 712,7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19 662,7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98 313,5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Подпрограмма III «Организационные,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экономические механизмы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развития культуры»</w:t>
            </w:r>
          </w:p>
        </w:tc>
      </w:tr>
      <w:tr w:rsidR="00572DC2" w:rsidTr="00572DC2">
        <w:trPr>
          <w:trHeight w:val="3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Организационно-техническое и финансовое обеспечение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деятельности  Управления культуры администрации города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Югорска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96 037,7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3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96 037,7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7 897,8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40 000,0</w:t>
            </w:r>
          </w:p>
        </w:tc>
      </w:tr>
      <w:tr w:rsidR="00572DC2" w:rsidTr="00572DC2">
        <w:trPr>
          <w:trHeight w:val="57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Освещение мероприятий в сфере культуры в  средствах массовой информации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23 999,8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1 999,8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независимой </w:t>
            </w: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оценки качества условий оказания услуг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 xml:space="preserve"> организациями культуры, в том числе негосударственными (коммерческими, некоммерческими) (1)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552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подпрограмме III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120 227,5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50 070,0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5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5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120 227,5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9 947,6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10 070,0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50 070,0</w:t>
            </w:r>
          </w:p>
        </w:tc>
      </w:tr>
      <w:tr w:rsidR="00572DC2" w:rsidTr="00572DC2">
        <w:trPr>
          <w:trHeight w:val="54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программе: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3 231 393,7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286 023,0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295 689,8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271 906,6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264 074,0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263 924,0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263 994,0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1 319 720,0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23 879,1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2 932 400,5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254 468,2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246 867,8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246 351,8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242 711,3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242 781,3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1 213 656,5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254 465,0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3 231 393,7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266 062,3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286 023,0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295 689,8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271 906,6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264 074,0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263 924,0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263 994,0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1 319 720,0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6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23 879,1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2 932 400,5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242 752,3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254 468,2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246 867,8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246 351,8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242 811,3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242 711,3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242 781,3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1 213 656,5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254 465,0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148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3 118 443,3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252 658,6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272 506,3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287 089,8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263 306,6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255 474,0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255 324,0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255 394,0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1 276 690,0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20 649,1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2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23 879,1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2 219,8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16 975,1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4 342,1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2 819 450,1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229 348,6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240 951,5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238 267,8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237 751,8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234 211,3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234 111,3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234 181,3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1 170 626,5</w:t>
            </w:r>
          </w:p>
        </w:tc>
      </w:tr>
      <w:tr w:rsidR="00572DC2" w:rsidTr="00CF77B6">
        <w:trPr>
          <w:trHeight w:val="6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254 465,0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21 075,3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21 262,7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21 212,7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106 063,5</w:t>
            </w:r>
          </w:p>
        </w:tc>
      </w:tr>
      <w:tr w:rsidR="00572DC2" w:rsidTr="00CF77B6">
        <w:trPr>
          <w:trHeight w:val="46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96 102,3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40 030,0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51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CF77B6">
        <w:trPr>
          <w:trHeight w:val="59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96 102,3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7 932,4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8 139,9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40 030,0</w:t>
            </w:r>
          </w:p>
        </w:tc>
      </w:tr>
      <w:tr w:rsidR="00572DC2" w:rsidTr="00572DC2">
        <w:trPr>
          <w:trHeight w:val="43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7 700,0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126</w:t>
            </w:r>
          </w:p>
        </w:tc>
        <w:tc>
          <w:tcPr>
            <w:tcW w:w="2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9 148,1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72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9 148,1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4 871,3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4 276,8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572DC2" w:rsidTr="00572DC2">
        <w:trPr>
          <w:trHeight w:val="4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DC2" w:rsidRDefault="00572DC2" w:rsidP="00572DC2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2DC2" w:rsidRDefault="00572DC2" w:rsidP="00572DC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</w:tbl>
    <w:p w:rsidR="00572DC2" w:rsidRDefault="00572DC2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Таблица 3 </w:t>
      </w:r>
    </w:p>
    <w:p w:rsidR="00CF77B6" w:rsidRDefault="00CF77B6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Мероприятия, реализуемые на принципах проектного управления, </w:t>
      </w:r>
      <w:proofErr w:type="gramStart"/>
      <w:r>
        <w:rPr>
          <w:b/>
          <w:color w:val="000000"/>
          <w:sz w:val="24"/>
          <w:szCs w:val="24"/>
        </w:rPr>
        <w:t>направленные</w:t>
      </w:r>
      <w:proofErr w:type="gramEnd"/>
      <w:r>
        <w:rPr>
          <w:b/>
          <w:color w:val="000000"/>
          <w:sz w:val="24"/>
          <w:szCs w:val="24"/>
        </w:rPr>
        <w:t xml:space="preserve"> в том числе на исполнение </w:t>
      </w:r>
    </w:p>
    <w:p w:rsidR="00CF77B6" w:rsidRDefault="00CF77B6" w:rsidP="00CF77B6">
      <w:pPr>
        <w:widowControl w:val="0"/>
        <w:autoSpaceDE w:val="0"/>
        <w:autoSpaceDN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национальных и федеральных проектов (программ) Российской Федерации</w:t>
      </w:r>
    </w:p>
    <w:p w:rsidR="00CF77B6" w:rsidRDefault="00CF77B6" w:rsidP="00CF77B6">
      <w:pPr>
        <w:jc w:val="both"/>
        <w:rPr>
          <w:sz w:val="24"/>
          <w:szCs w:val="24"/>
        </w:rPr>
      </w:pPr>
    </w:p>
    <w:tbl>
      <w:tblPr>
        <w:tblW w:w="15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135"/>
        <w:gridCol w:w="1418"/>
        <w:gridCol w:w="1274"/>
        <w:gridCol w:w="2693"/>
        <w:gridCol w:w="1092"/>
        <w:gridCol w:w="1581"/>
        <w:gridCol w:w="849"/>
        <w:gridCol w:w="709"/>
        <w:gridCol w:w="850"/>
        <w:gridCol w:w="851"/>
        <w:gridCol w:w="850"/>
        <w:gridCol w:w="851"/>
        <w:gridCol w:w="850"/>
      </w:tblGrid>
      <w:tr w:rsidR="00CF77B6" w:rsidTr="00CF77B6">
        <w:trPr>
          <w:trHeight w:val="727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№</w:t>
            </w:r>
          </w:p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проекта или мероприятия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Номер основного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Цели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Источники финансирования </w:t>
            </w:r>
          </w:p>
        </w:tc>
        <w:tc>
          <w:tcPr>
            <w:tcW w:w="58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Параметры финансового обеспечения, тыс. рублей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CF77B6" w:rsidTr="00CF77B6">
        <w:trPr>
          <w:trHeight w:val="24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F77B6" w:rsidTr="00CF77B6">
        <w:trPr>
          <w:trHeight w:val="300"/>
        </w:trPr>
        <w:tc>
          <w:tcPr>
            <w:tcW w:w="1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Раздел I . Портфели проектов, основанные на национальных и федеральных проектах Российской Федерации</w:t>
            </w:r>
          </w:p>
        </w:tc>
      </w:tr>
      <w:tr w:rsidR="00CF77B6" w:rsidTr="00CF77B6">
        <w:trPr>
          <w:trHeight w:val="324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Портфель проектов «Культура»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Региональный проект 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«Культурная среда»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Обеспечение к 2024 году условий доступности к лучшим образцам культуры путем создания современной инфраструктуры для творческой самореализации и досуга населения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37 823,7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27 823,7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20 634,2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9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5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2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 «Творческие люди» (1,2,3)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2.4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Согласно паспорту проекта: Увеличение к 2024 году количества граждан, вовлеченных в культурную деятельность путем поддержки и реализации творческих инициатив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5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Региональный проект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>«Цифровая культура»</w:t>
            </w:r>
            <w:r>
              <w:rPr>
                <w:color w:val="000000"/>
                <w:sz w:val="18"/>
                <w:szCs w:val="18"/>
                <w:lang w:eastAsia="ru-RU"/>
              </w:rPr>
              <w:br/>
              <w:t xml:space="preserve"> (1)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Согласно паспорту проекта: Увеличение  числа обращений к цифровым ресурсам в сфере культуры в 5 раз 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20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CF77B6" w:rsidTr="00CF77B6">
        <w:trPr>
          <w:trHeight w:val="4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20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20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CF77B6" w:rsidTr="00CF77B6">
        <w:trPr>
          <w:trHeight w:val="4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Итого по портфелю проектов «Культура» 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37 973,7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27 823,7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58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7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37 973,7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27 823,7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8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20 634,2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10 634,2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72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16 633,0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656,5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8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1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Раздел IV. Муниципальные проекты города Югорска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Музейно-туристический комплекс «Ворота в Югру»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Согласно паспорту проекта: развитие внутреннего и въездного туризма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12.2030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3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Итого по проекту «Музейно-туристический комплекс  «Ворота в Югру»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72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F77B6" w:rsidTr="00CF77B6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3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7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F77B6" w:rsidTr="00CF77B6">
        <w:trPr>
          <w:trHeight w:val="48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72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30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</w:t>
            </w:r>
          </w:p>
        </w:tc>
      </w:tr>
      <w:tr w:rsidR="00CF77B6" w:rsidTr="00CF77B6">
        <w:trPr>
          <w:trHeight w:val="480"/>
        </w:trPr>
        <w:tc>
          <w:tcPr>
            <w:tcW w:w="7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 финансирования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F77B6" w:rsidTr="00CF77B6">
        <w:trPr>
          <w:trHeight w:val="480"/>
        </w:trPr>
        <w:tc>
          <w:tcPr>
            <w:tcW w:w="1558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Разделы </w:t>
            </w:r>
            <w:r>
              <w:rPr>
                <w:color w:val="000000"/>
                <w:sz w:val="18"/>
                <w:szCs w:val="18"/>
                <w:lang w:val="en-US"/>
              </w:rPr>
              <w:t>II</w:t>
            </w:r>
            <w:r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  <w:lang w:val="en-US"/>
              </w:rPr>
              <w:t>III</w:t>
            </w:r>
            <w:r>
              <w:rPr>
                <w:color w:val="000000"/>
                <w:sz w:val="18"/>
                <w:szCs w:val="18"/>
              </w:rPr>
              <w:t xml:space="preserve"> не заполнены в связи с отсутствием соответствующих проектов</w:t>
            </w:r>
          </w:p>
        </w:tc>
      </w:tr>
    </w:tbl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572DC2">
      <w:pPr>
        <w:ind w:firstLine="709"/>
        <w:jc w:val="both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4 </w:t>
      </w:r>
    </w:p>
    <w:p w:rsidR="00CF77B6" w:rsidRDefault="00CF77B6" w:rsidP="00CF77B6">
      <w:pPr>
        <w:widowControl w:val="0"/>
        <w:autoSpaceDE w:val="0"/>
        <w:autoSpaceDN w:val="0"/>
        <w:ind w:firstLine="540"/>
        <w:jc w:val="center"/>
        <w:outlineLvl w:val="1"/>
        <w:rPr>
          <w:b/>
          <w:sz w:val="28"/>
          <w:szCs w:val="28"/>
        </w:rPr>
      </w:pPr>
    </w:p>
    <w:p w:rsidR="00CF77B6" w:rsidRDefault="00CF77B6" w:rsidP="00CF77B6">
      <w:pPr>
        <w:widowControl w:val="0"/>
        <w:autoSpaceDE w:val="0"/>
        <w:autoSpaceDN w:val="0"/>
        <w:jc w:val="center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Сводные показатели муниципальных заданий</w:t>
      </w:r>
    </w:p>
    <w:tbl>
      <w:tblPr>
        <w:tblpPr w:leftFromText="180" w:rightFromText="180" w:bottomFromText="200" w:vertAnchor="text" w:horzAnchor="margin" w:tblpX="124" w:tblpY="335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3465"/>
        <w:gridCol w:w="1840"/>
        <w:gridCol w:w="1027"/>
        <w:gridCol w:w="1005"/>
        <w:gridCol w:w="992"/>
        <w:gridCol w:w="992"/>
        <w:gridCol w:w="992"/>
        <w:gridCol w:w="993"/>
        <w:gridCol w:w="992"/>
        <w:gridCol w:w="992"/>
        <w:gridCol w:w="1796"/>
      </w:tblGrid>
      <w:tr w:rsidR="00CF77B6" w:rsidTr="00CF77B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gramStart"/>
            <w:r>
              <w:rPr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color w:val="000000"/>
                <w:sz w:val="18"/>
                <w:szCs w:val="18"/>
              </w:rPr>
              <w:t>/п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муниципальных услуг (работ)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Значения показателя по годам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Значение показателя</w:t>
            </w:r>
          </w:p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момент окончания реализации муниципальной программы</w:t>
            </w:r>
          </w:p>
        </w:tc>
      </w:tr>
      <w:tr w:rsidR="00CF77B6" w:rsidTr="00CF77B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 w:rsidP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 w:rsidP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 w:rsidP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2026 - 2030</w:t>
            </w: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7B6" w:rsidRDefault="00CF77B6" w:rsidP="00CF77B6">
            <w:pPr>
              <w:suppressAutoHyphens w:val="0"/>
              <w:rPr>
                <w:color w:val="000000"/>
                <w:sz w:val="18"/>
                <w:szCs w:val="18"/>
              </w:rPr>
            </w:pPr>
          </w:p>
        </w:tc>
      </w:tr>
      <w:tr w:rsidR="00CF77B6" w:rsidTr="00CF77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CF77B6" w:rsidTr="00CF77B6">
        <w:tc>
          <w:tcPr>
            <w:tcW w:w="1371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Муниципальные услуги: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outlineLvl w:val="2"/>
              <w:rPr>
                <w:color w:val="000000"/>
                <w:sz w:val="18"/>
                <w:szCs w:val="18"/>
              </w:rPr>
            </w:pPr>
          </w:p>
        </w:tc>
      </w:tr>
      <w:tr w:rsidR="00CF77B6" w:rsidTr="00CF77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и проведение мероприятий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проведенных мероприятий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1 065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1 085</w:t>
            </w:r>
          </w:p>
        </w:tc>
      </w:tr>
      <w:tr w:rsidR="00CF77B6" w:rsidTr="00CF77B6">
        <w:trPr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посещений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105 200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109 000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122 000</w:t>
            </w:r>
          </w:p>
        </w:tc>
      </w:tr>
      <w:tr w:rsidR="00CF77B6" w:rsidTr="00CF77B6">
        <w:trPr>
          <w:trHeight w:val="56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Публичный показ музейных предметов, музейных коллекций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Число посетителей (человек)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137 800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162 000</w:t>
            </w:r>
          </w:p>
        </w:tc>
      </w:tr>
      <w:tr w:rsidR="00CF77B6" w:rsidTr="00CF77B6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дополнительных предпрофессиональных программ в области искусств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ind w:hanging="2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207 035,15</w:t>
            </w:r>
          </w:p>
        </w:tc>
      </w:tr>
      <w:tr w:rsidR="00CF77B6" w:rsidTr="00CF77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Реализация дополнительных общеразвивающих программ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человеко-часов (человеко-час)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ind w:firstLine="11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11 254</w:t>
            </w:r>
          </w:p>
        </w:tc>
      </w:tr>
      <w:tr w:rsidR="00CF77B6" w:rsidTr="00CF77B6">
        <w:tc>
          <w:tcPr>
            <w:tcW w:w="155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Муниципальные работы:</w:t>
            </w:r>
          </w:p>
        </w:tc>
      </w:tr>
      <w:tr w:rsidR="00CF77B6" w:rsidTr="00CF77B6">
        <w:trPr>
          <w:trHeight w:val="7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клубных формирований</w:t>
            </w:r>
          </w:p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</w:tr>
      <w:tr w:rsidR="00CF77B6" w:rsidTr="00CF77B6">
        <w:trPr>
          <w:trHeight w:val="11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документов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160 000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162 000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163 000</w:t>
            </w:r>
          </w:p>
        </w:tc>
      </w:tr>
      <w:tr w:rsidR="00CF77B6" w:rsidTr="00CF77B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предметов (единица)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35 453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widowControl w:val="0"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  <w:vAlign w:val="center"/>
            <w:hideMark/>
          </w:tcPr>
          <w:p w:rsidR="00CF77B6" w:rsidRDefault="00CF77B6" w:rsidP="00CF77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35 753</w:t>
            </w:r>
          </w:p>
        </w:tc>
      </w:tr>
    </w:tbl>
    <w:p w:rsidR="00CF77B6" w:rsidRDefault="00CF77B6" w:rsidP="00CF77B6">
      <w:pPr>
        <w:jc w:val="both"/>
        <w:rPr>
          <w:sz w:val="24"/>
          <w:szCs w:val="24"/>
        </w:rPr>
      </w:pPr>
    </w:p>
    <w:p w:rsidR="00CF77B6" w:rsidRPr="00CF77B6" w:rsidRDefault="00CF77B6" w:rsidP="00CF77B6">
      <w:pPr>
        <w:rPr>
          <w:sz w:val="24"/>
          <w:szCs w:val="24"/>
        </w:rPr>
      </w:pPr>
    </w:p>
    <w:p w:rsidR="00CF77B6" w:rsidRDefault="00CF77B6" w:rsidP="00CF77B6">
      <w:pPr>
        <w:ind w:firstLine="708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Таблица 5 </w:t>
      </w:r>
    </w:p>
    <w:p w:rsidR="00CF77B6" w:rsidRDefault="00CF77B6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p w:rsidR="00CF77B6" w:rsidRDefault="00CF77B6" w:rsidP="00CF77B6">
      <w:pPr>
        <w:widowControl w:val="0"/>
        <w:autoSpaceDE w:val="0"/>
        <w:autoSpaceDN w:val="0"/>
      </w:pP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7"/>
        <w:gridCol w:w="8226"/>
      </w:tblGrid>
      <w:tr w:rsidR="00CF77B6" w:rsidTr="00CF77B6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lang w:eastAsia="en-US"/>
              </w:rPr>
              <w:t>п</w:t>
            </w:r>
            <w:proofErr w:type="gramEnd"/>
            <w:r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Описание риска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по преодолению рисков</w:t>
            </w:r>
          </w:p>
        </w:tc>
      </w:tr>
      <w:tr w:rsidR="00CF77B6" w:rsidTr="00CF77B6">
        <w:trPr>
          <w:trHeight w:val="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CF77B6" w:rsidTr="00CF77B6">
        <w:trPr>
          <w:trHeight w:val="13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6" w:rsidRDefault="00CF77B6">
            <w:pPr>
              <w:jc w:val="both"/>
            </w:pPr>
            <w:r>
              <w:t>Правовые риски связаны с изменением законодательства Российской Федерации, законодательства автономного округа и города Югорска, длительностью формирования нормативно-правовой базы, необходимой для эффективной реализации муниципальной программы. Это может привести        к существенному увеличению планируемых сроков или изменению условий реализации ее программных мероприятий.</w:t>
            </w:r>
          </w:p>
          <w:p w:rsidR="00CF77B6" w:rsidRDefault="00CF77B6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both"/>
            </w:pPr>
            <w:r>
              <w:t>В целях минимизации правовых рисков предполагается:</w:t>
            </w:r>
          </w:p>
          <w:p w:rsidR="00CF77B6" w:rsidRDefault="00CF77B6">
            <w:pPr>
              <w:ind w:hanging="3"/>
              <w:jc w:val="both"/>
            </w:pPr>
            <w:r>
              <w:t xml:space="preserve">а) на этапе согласования проекта муниципальной программы планируется привлечь для рассмотрения и подготовки предложений населением, </w:t>
            </w:r>
            <w:proofErr w:type="gramStart"/>
            <w:r>
              <w:t>бизнес-сообществом</w:t>
            </w:r>
            <w:proofErr w:type="gramEnd"/>
            <w:r>
              <w:t>, общественными организациями путем размещения проекта на официальном сайте администрации города Югорска в сети Интернет;</w:t>
            </w:r>
          </w:p>
          <w:p w:rsidR="00CF77B6" w:rsidRDefault="00CF77B6">
            <w:pPr>
              <w:ind w:hanging="3"/>
              <w:jc w:val="both"/>
            </w:pPr>
            <w:r>
              <w:t>б) проводить мониторинг планируемых изменений в законодательстве Российской Федерации, автономного округа  и городе Югорске в сфере культуры.</w:t>
            </w:r>
          </w:p>
        </w:tc>
      </w:tr>
      <w:tr w:rsidR="00CF77B6" w:rsidTr="00CF77B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Финансовые риски: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Удорожание стоимости товаров (услуг), непрогнозируемые инфляционные процессы, что также может повлиять на сроки, объем и качество выполнения задач по модернизации имущественного комплекса отрасли культуры и улучшение материально-технической базы учреждений культуры и организаций образования в культуре.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В целях минимизации финансовых рисков предполагается: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программе;</w:t>
            </w:r>
          </w:p>
          <w:p w:rsidR="00CF77B6" w:rsidRDefault="00CF77B6">
            <w:pPr>
              <w:widowControl w:val="0"/>
              <w:autoSpaceDE w:val="0"/>
              <w:autoSpaceDN w:val="0"/>
              <w:ind w:hanging="3"/>
              <w:jc w:val="both"/>
            </w:pPr>
            <w:r>
              <w:t>б) планирование бюджетных расходов с применением методик оценки эффективности бюджетных расходов;</w:t>
            </w:r>
          </w:p>
          <w:p w:rsidR="00CF77B6" w:rsidRDefault="00CF77B6">
            <w:pPr>
              <w:widowControl w:val="0"/>
              <w:autoSpaceDE w:val="0"/>
              <w:autoSpaceDN w:val="0"/>
              <w:ind w:hanging="3"/>
              <w:jc w:val="both"/>
            </w:pPr>
            <w:r>
              <w:t>в) привлечение внебюджетных источников финансирования на реализацию мероприятий программы.</w:t>
            </w:r>
          </w:p>
        </w:tc>
      </w:tr>
      <w:tr w:rsidR="00CF77B6" w:rsidTr="00CF77B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Административные риски связаны с неэффективным управлением реализацией программы, нарушением планируемых сроков реализации программы, невыполнением ее целей и задач, не достижением плановых значений показателей, снижением эффективности использования ресурсов  и качества выполнения программных мероприятий программы.</w:t>
            </w:r>
          </w:p>
          <w:p w:rsidR="00CF77B6" w:rsidRDefault="00CF77B6">
            <w:pPr>
              <w:ind w:firstLine="708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В целях минимизации (снижения) административных рисков планируется: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а) регулярная публикация отчетов о ходе реализации программы;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 xml:space="preserve">б) повышение </w:t>
            </w:r>
            <w:proofErr w:type="gramStart"/>
            <w:r>
              <w:t>эффективности взаимодействия участников реализации программы</w:t>
            </w:r>
            <w:proofErr w:type="gramEnd"/>
            <w:r>
              <w:t>;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в) создание системы мониторинга реализации программы;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г) своевременная корректировка программных мероприятий программы;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д) рациональное использование имеющихся материальных и нематериальных ресурсов;</w:t>
            </w:r>
          </w:p>
          <w:p w:rsidR="00CF77B6" w:rsidRDefault="00CF77B6">
            <w:pPr>
              <w:widowControl w:val="0"/>
              <w:autoSpaceDE w:val="0"/>
              <w:autoSpaceDN w:val="0"/>
              <w:jc w:val="both"/>
            </w:pPr>
            <w:r>
              <w:t>е) повышение ответственности за использование ресурсов, принятие ключевых решений               в определении путей и методов реализации программы.</w:t>
            </w:r>
          </w:p>
        </w:tc>
      </w:tr>
    </w:tbl>
    <w:p w:rsidR="00CF77B6" w:rsidRDefault="00CF77B6" w:rsidP="00CF77B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Таблица 6</w:t>
      </w:r>
    </w:p>
    <w:p w:rsidR="00CF77B6" w:rsidRDefault="00CF77B6" w:rsidP="00CF77B6">
      <w:pPr>
        <w:widowControl w:val="0"/>
        <w:suppressAutoHyphens w:val="0"/>
        <w:autoSpaceDE w:val="0"/>
        <w:autoSpaceDN w:val="0"/>
        <w:jc w:val="right"/>
        <w:rPr>
          <w:rFonts w:eastAsia="Calibri"/>
          <w:b/>
          <w:sz w:val="24"/>
          <w:szCs w:val="24"/>
          <w:lang w:eastAsia="en-US"/>
        </w:rPr>
      </w:pPr>
    </w:p>
    <w:p w:rsidR="00CF77B6" w:rsidRDefault="00CF77B6" w:rsidP="00CF77B6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CF77B6" w:rsidRDefault="00CF77B6" w:rsidP="00CF77B6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Перечень объектов социально-культурного и коммунально-бытового назначения, </w:t>
      </w:r>
    </w:p>
    <w:p w:rsidR="00CF77B6" w:rsidRDefault="00CF77B6" w:rsidP="00CF77B6">
      <w:pPr>
        <w:widowControl w:val="0"/>
        <w:suppressAutoHyphens w:val="0"/>
        <w:autoSpaceDE w:val="0"/>
        <w:autoSpaceDN w:val="0"/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масштабные инвестиционные проекты (далее – инвестиционные проекты)*</w:t>
      </w:r>
    </w:p>
    <w:p w:rsidR="00CF77B6" w:rsidRDefault="00CF77B6" w:rsidP="00CF77B6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CF77B6" w:rsidRDefault="00CF77B6" w:rsidP="00CF77B6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CF77B6" w:rsidRDefault="00CF77B6" w:rsidP="00CF77B6">
      <w:pPr>
        <w:suppressAutoHyphens w:val="0"/>
        <w:spacing w:after="200" w:line="276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* Таблица не заполняется в связи с отсутствием масштабных инвестиционных проектов</w:t>
      </w:r>
    </w:p>
    <w:p w:rsidR="00CF77B6" w:rsidRDefault="00CF77B6" w:rsidP="00CF77B6">
      <w:pPr>
        <w:widowControl w:val="0"/>
        <w:suppressAutoHyphens w:val="0"/>
        <w:autoSpaceDE w:val="0"/>
        <w:autoSpaceDN w:val="0"/>
        <w:jc w:val="both"/>
        <w:rPr>
          <w:rFonts w:eastAsia="Calibri"/>
          <w:sz w:val="24"/>
          <w:szCs w:val="24"/>
          <w:lang w:eastAsia="en-US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rPr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7053B7" w:rsidRDefault="007053B7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7</w:t>
      </w:r>
    </w:p>
    <w:p w:rsidR="00CF77B6" w:rsidRDefault="00CF77B6" w:rsidP="00CF77B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Перечень объектов капитального строительства*</w:t>
      </w:r>
    </w:p>
    <w:p w:rsidR="00CF77B6" w:rsidRDefault="00CF77B6" w:rsidP="00CF77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77B6" w:rsidRDefault="00CF77B6" w:rsidP="00CF77B6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>*Таблица не заполняется в связи с отсутствием объектов капитального строительства</w:t>
      </w:r>
    </w:p>
    <w:p w:rsidR="00CF77B6" w:rsidRDefault="00CF77B6" w:rsidP="00CF77B6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CF77B6" w:rsidRDefault="00CF77B6" w:rsidP="00CF77B6">
      <w:pPr>
        <w:ind w:firstLine="709"/>
        <w:jc w:val="both"/>
        <w:rPr>
          <w:b/>
          <w:sz w:val="24"/>
          <w:szCs w:val="24"/>
        </w:rPr>
      </w:pPr>
    </w:p>
    <w:p w:rsidR="00CF77B6" w:rsidRDefault="00CF77B6" w:rsidP="00CF77B6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rPr>
          <w:color w:val="000000"/>
          <w:sz w:val="24"/>
          <w:szCs w:val="24"/>
          <w:lang w:eastAsia="ru-RU"/>
        </w:rPr>
      </w:pPr>
    </w:p>
    <w:p w:rsidR="00CF77B6" w:rsidRDefault="00CF77B6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</w:pPr>
    </w:p>
    <w:p w:rsidR="007053B7" w:rsidRDefault="007053B7" w:rsidP="00CF77B6">
      <w:pPr>
        <w:ind w:firstLine="708"/>
        <w:rPr>
          <w:sz w:val="24"/>
          <w:szCs w:val="24"/>
        </w:rPr>
        <w:sectPr w:rsidR="007053B7" w:rsidSect="00572DC2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7053B7" w:rsidRPr="00CF77B6" w:rsidRDefault="007053B7" w:rsidP="00CF77B6">
      <w:pPr>
        <w:ind w:firstLine="708"/>
        <w:rPr>
          <w:sz w:val="24"/>
          <w:szCs w:val="24"/>
        </w:rPr>
      </w:pPr>
    </w:p>
    <w:sectPr w:rsidR="007053B7" w:rsidRPr="00CF77B6" w:rsidSect="007C63D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abstractNum w:abstractNumId="3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</w:lvl>
    <w:lvl w:ilvl="1">
      <w:start w:val="1"/>
      <w:numFmt w:val="decimal"/>
      <w:lvlText w:val="%1.%2."/>
      <w:lvlJc w:val="left"/>
      <w:pPr>
        <w:ind w:left="750" w:hanging="750"/>
      </w:p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72DC2"/>
    <w:rsid w:val="00624190"/>
    <w:rsid w:val="0065328E"/>
    <w:rsid w:val="006B3FA0"/>
    <w:rsid w:val="006F6444"/>
    <w:rsid w:val="007053B7"/>
    <w:rsid w:val="00713C1C"/>
    <w:rsid w:val="007268A4"/>
    <w:rsid w:val="007549D8"/>
    <w:rsid w:val="00796FEC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65BE2"/>
    <w:rsid w:val="00B753EC"/>
    <w:rsid w:val="00B91EF8"/>
    <w:rsid w:val="00BD7EE5"/>
    <w:rsid w:val="00BE1CAB"/>
    <w:rsid w:val="00C26832"/>
    <w:rsid w:val="00CE2A5A"/>
    <w:rsid w:val="00CF77B6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0"/>
    <w:next w:val="a0"/>
    <w:link w:val="10"/>
    <w:qFormat/>
    <w:rsid w:val="00572DC2"/>
    <w:pPr>
      <w:keepNext/>
      <w:suppressAutoHyphens w:val="0"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en-US"/>
    </w:rPr>
  </w:style>
  <w:style w:type="paragraph" w:styleId="20">
    <w:name w:val="heading 2"/>
    <w:basedOn w:val="a0"/>
    <w:next w:val="a0"/>
    <w:link w:val="21"/>
    <w:semiHidden/>
    <w:unhideWhenUsed/>
    <w:qFormat/>
    <w:rsid w:val="00572DC2"/>
    <w:pPr>
      <w:keepNext/>
      <w:widowControl w:val="0"/>
      <w:tabs>
        <w:tab w:val="num" w:pos="0"/>
      </w:tabs>
      <w:jc w:val="both"/>
      <w:outlineLvl w:val="1"/>
    </w:pPr>
    <w:rPr>
      <w:rFonts w:eastAsia="Lucida Sans Unicode" w:cs="Tahoma"/>
      <w:b/>
      <w:color w:val="000000"/>
      <w:sz w:val="24"/>
      <w:szCs w:val="24"/>
      <w:lang w:val="en-US" w:eastAsia="x-none" w:bidi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72D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0"/>
    <w:next w:val="a0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572DC2"/>
    <w:pPr>
      <w:suppressAutoHyphens w:val="0"/>
      <w:spacing w:before="240" w:after="60" w:line="276" w:lineRule="auto"/>
      <w:outlineLvl w:val="5"/>
    </w:pPr>
    <w:rPr>
      <w:rFonts w:eastAsia="Calibri"/>
      <w:b/>
      <w:bCs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72DC2"/>
    <w:rPr>
      <w:rFonts w:ascii="Arial" w:hAnsi="Arial"/>
      <w:b/>
      <w:bCs/>
      <w:kern w:val="32"/>
      <w:sz w:val="32"/>
      <w:szCs w:val="32"/>
      <w:lang w:val="x-none" w:eastAsia="en-US"/>
    </w:rPr>
  </w:style>
  <w:style w:type="character" w:customStyle="1" w:styleId="21">
    <w:name w:val="Заголовок 2 Знак"/>
    <w:link w:val="20"/>
    <w:semiHidden/>
    <w:rsid w:val="00572DC2"/>
    <w:rPr>
      <w:rFonts w:ascii="Times New Roman" w:eastAsia="Lucida Sans Unicode" w:hAnsi="Times New Roman" w:cs="Tahoma"/>
      <w:b/>
      <w:color w:val="000000"/>
      <w:sz w:val="24"/>
      <w:szCs w:val="24"/>
      <w:lang w:val="en-US" w:eastAsia="x-none" w:bidi="en-US"/>
    </w:rPr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link w:val="6"/>
    <w:semiHidden/>
    <w:rsid w:val="00572DC2"/>
    <w:rPr>
      <w:rFonts w:ascii="Times New Roman" w:hAnsi="Times New Roman"/>
      <w:b/>
      <w:bCs/>
      <w:sz w:val="20"/>
      <w:szCs w:val="20"/>
      <w:lang w:val="x-none" w:eastAsia="en-US"/>
    </w:rPr>
  </w:style>
  <w:style w:type="paragraph" w:styleId="a4">
    <w:name w:val="Balloon Text"/>
    <w:basedOn w:val="a0"/>
    <w:link w:val="a5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6">
    <w:name w:val="List Paragraph"/>
    <w:basedOn w:val="a0"/>
    <w:uiPriority w:val="99"/>
    <w:qFormat/>
    <w:rsid w:val="002F5129"/>
    <w:pPr>
      <w:ind w:left="720"/>
    </w:pPr>
  </w:style>
  <w:style w:type="paragraph" w:styleId="a7">
    <w:name w:val="Body Text Indent"/>
    <w:basedOn w:val="a0"/>
    <w:link w:val="a8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styleId="a9">
    <w:name w:val="Hyperlink"/>
    <w:uiPriority w:val="99"/>
    <w:semiHidden/>
    <w:unhideWhenUsed/>
    <w:rsid w:val="00572DC2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572DC2"/>
    <w:rPr>
      <w:rFonts w:eastAsia="Times New Roman"/>
      <w:b/>
      <w:bCs/>
      <w:sz w:val="28"/>
      <w:szCs w:val="28"/>
      <w:lang w:val="x-none" w:eastAsia="en-US"/>
    </w:rPr>
  </w:style>
  <w:style w:type="character" w:customStyle="1" w:styleId="HTML">
    <w:name w:val="Стандартный HTML Знак"/>
    <w:link w:val="HTML0"/>
    <w:semiHidden/>
    <w:rsid w:val="00572DC2"/>
    <w:rPr>
      <w:rFonts w:ascii="Courier New" w:eastAsia="Times New Roman" w:hAnsi="Courier New"/>
      <w:sz w:val="20"/>
      <w:szCs w:val="20"/>
      <w:lang w:val="x-none" w:eastAsia="x-none"/>
    </w:rPr>
  </w:style>
  <w:style w:type="paragraph" w:styleId="HTML0">
    <w:name w:val="HTML Preformatted"/>
    <w:basedOn w:val="a0"/>
    <w:link w:val="HTML"/>
    <w:semiHidden/>
    <w:unhideWhenUsed/>
    <w:rsid w:val="00572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center"/>
    </w:pPr>
    <w:rPr>
      <w:rFonts w:ascii="Courier New" w:hAnsi="Courier New"/>
      <w:lang w:val="x-none" w:eastAsia="x-none"/>
    </w:rPr>
  </w:style>
  <w:style w:type="paragraph" w:styleId="aa">
    <w:name w:val="Normal (Web)"/>
    <w:basedOn w:val="a0"/>
    <w:semiHidden/>
    <w:unhideWhenUsed/>
    <w:rsid w:val="00572D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Текст сноски Знак"/>
    <w:link w:val="ac"/>
    <w:semiHidden/>
    <w:rsid w:val="00572DC2"/>
    <w:rPr>
      <w:rFonts w:eastAsia="Times New Roman"/>
      <w:sz w:val="20"/>
      <w:szCs w:val="20"/>
      <w:lang w:val="x-none" w:eastAsia="x-none"/>
    </w:rPr>
  </w:style>
  <w:style w:type="paragraph" w:styleId="ac">
    <w:name w:val="footnote text"/>
    <w:basedOn w:val="a0"/>
    <w:link w:val="ab"/>
    <w:semiHidden/>
    <w:unhideWhenUsed/>
    <w:rsid w:val="00572DC2"/>
    <w:pPr>
      <w:suppressAutoHyphens w:val="0"/>
    </w:pPr>
    <w:rPr>
      <w:rFonts w:ascii="Calibri" w:hAnsi="Calibri"/>
      <w:lang w:val="x-none" w:eastAsia="x-none"/>
    </w:rPr>
  </w:style>
  <w:style w:type="character" w:customStyle="1" w:styleId="ad">
    <w:name w:val="Текст примечания Знак"/>
    <w:link w:val="ae"/>
    <w:uiPriority w:val="99"/>
    <w:semiHidden/>
    <w:rsid w:val="00572DC2"/>
    <w:rPr>
      <w:rFonts w:eastAsia="Times New Roman"/>
      <w:sz w:val="20"/>
      <w:szCs w:val="20"/>
      <w:lang w:val="x-none" w:eastAsia="x-none"/>
    </w:rPr>
  </w:style>
  <w:style w:type="paragraph" w:styleId="ae">
    <w:name w:val="annotation text"/>
    <w:basedOn w:val="a0"/>
    <w:link w:val="ad"/>
    <w:uiPriority w:val="99"/>
    <w:semiHidden/>
    <w:unhideWhenUsed/>
    <w:rsid w:val="00572DC2"/>
    <w:pPr>
      <w:suppressAutoHyphens w:val="0"/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af">
    <w:name w:val="Верхний колонтитул Знак"/>
    <w:link w:val="af0"/>
    <w:uiPriority w:val="99"/>
    <w:semiHidden/>
    <w:rsid w:val="00572DC2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0">
    <w:name w:val="header"/>
    <w:basedOn w:val="a0"/>
    <w:link w:val="af"/>
    <w:uiPriority w:val="99"/>
    <w:semiHidden/>
    <w:unhideWhenUsed/>
    <w:rsid w:val="00572DC2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1">
    <w:name w:val="Нижний колонтитул Знак"/>
    <w:link w:val="af2"/>
    <w:uiPriority w:val="99"/>
    <w:semiHidden/>
    <w:rsid w:val="00572DC2"/>
    <w:rPr>
      <w:rFonts w:ascii="Times New Roman" w:eastAsia="Times New Roman" w:hAnsi="Times New Roman"/>
      <w:sz w:val="20"/>
      <w:szCs w:val="20"/>
      <w:lang w:val="x-none" w:eastAsia="x-none"/>
    </w:rPr>
  </w:style>
  <w:style w:type="paragraph" w:styleId="af2">
    <w:name w:val="footer"/>
    <w:basedOn w:val="a0"/>
    <w:link w:val="af1"/>
    <w:uiPriority w:val="99"/>
    <w:semiHidden/>
    <w:unhideWhenUsed/>
    <w:rsid w:val="00572DC2"/>
    <w:pPr>
      <w:tabs>
        <w:tab w:val="center" w:pos="4677"/>
        <w:tab w:val="right" w:pos="9355"/>
      </w:tabs>
      <w:suppressAutoHyphens w:val="0"/>
    </w:pPr>
    <w:rPr>
      <w:lang w:val="x-none" w:eastAsia="x-none"/>
    </w:rPr>
  </w:style>
  <w:style w:type="character" w:customStyle="1" w:styleId="af3">
    <w:name w:val="Текст концевой сноски Знак"/>
    <w:link w:val="af4"/>
    <w:uiPriority w:val="99"/>
    <w:semiHidden/>
    <w:rsid w:val="00572DC2"/>
    <w:rPr>
      <w:rFonts w:ascii="Courier New" w:eastAsia="Times New Roman" w:hAnsi="Courier New"/>
      <w:sz w:val="20"/>
      <w:szCs w:val="20"/>
      <w:lang w:val="x-none" w:eastAsia="x-none"/>
    </w:rPr>
  </w:style>
  <w:style w:type="paragraph" w:styleId="af4">
    <w:name w:val="endnote text"/>
    <w:basedOn w:val="a0"/>
    <w:link w:val="af3"/>
    <w:uiPriority w:val="99"/>
    <w:semiHidden/>
    <w:unhideWhenUsed/>
    <w:rsid w:val="00572DC2"/>
    <w:pPr>
      <w:suppressAutoHyphens w:val="0"/>
      <w:jc w:val="center"/>
    </w:pPr>
    <w:rPr>
      <w:rFonts w:ascii="Courier New" w:hAnsi="Courier New"/>
      <w:lang w:val="x-none" w:eastAsia="x-none"/>
    </w:rPr>
  </w:style>
  <w:style w:type="character" w:customStyle="1" w:styleId="af5">
    <w:name w:val="Основной текст Знак"/>
    <w:link w:val="af6"/>
    <w:semiHidden/>
    <w:rsid w:val="00572DC2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f6">
    <w:name w:val="Body Text"/>
    <w:basedOn w:val="a0"/>
    <w:link w:val="af5"/>
    <w:semiHidden/>
    <w:unhideWhenUsed/>
    <w:rsid w:val="00572DC2"/>
    <w:pPr>
      <w:suppressAutoHyphens w:val="0"/>
      <w:spacing w:after="120"/>
    </w:pPr>
    <w:rPr>
      <w:sz w:val="24"/>
      <w:szCs w:val="24"/>
      <w:lang w:val="x-none" w:eastAsia="x-none"/>
    </w:rPr>
  </w:style>
  <w:style w:type="paragraph" w:styleId="af7">
    <w:name w:val="Subtitle"/>
    <w:basedOn w:val="a0"/>
    <w:next w:val="a0"/>
    <w:link w:val="af8"/>
    <w:uiPriority w:val="11"/>
    <w:qFormat/>
    <w:rsid w:val="00572DC2"/>
    <w:pPr>
      <w:suppressAutoHyphens w:val="0"/>
      <w:spacing w:after="60" w:line="276" w:lineRule="auto"/>
      <w:jc w:val="center"/>
      <w:outlineLvl w:val="1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link w:val="af7"/>
    <w:uiPriority w:val="11"/>
    <w:rsid w:val="00572DC2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3">
    <w:name w:val="Основной текст 3 Знак"/>
    <w:link w:val="30"/>
    <w:semiHidden/>
    <w:rsid w:val="00572DC2"/>
    <w:rPr>
      <w:rFonts w:ascii="Times New Roman" w:eastAsia="Andale Sans UI" w:hAnsi="Times New Roman"/>
      <w:kern w:val="2"/>
      <w:sz w:val="16"/>
      <w:szCs w:val="16"/>
      <w:lang w:val="x-none" w:eastAsia="x-none"/>
    </w:rPr>
  </w:style>
  <w:style w:type="paragraph" w:styleId="30">
    <w:name w:val="Body Text 3"/>
    <w:basedOn w:val="a0"/>
    <w:link w:val="3"/>
    <w:semiHidden/>
    <w:unhideWhenUsed/>
    <w:rsid w:val="00572DC2"/>
    <w:pPr>
      <w:widowControl w:val="0"/>
      <w:spacing w:after="120"/>
    </w:pPr>
    <w:rPr>
      <w:rFonts w:eastAsia="Andale Sans UI"/>
      <w:kern w:val="2"/>
      <w:sz w:val="16"/>
      <w:szCs w:val="16"/>
      <w:lang w:val="x-none" w:eastAsia="x-none"/>
    </w:rPr>
  </w:style>
  <w:style w:type="character" w:customStyle="1" w:styleId="af9">
    <w:name w:val="Тема примечания Знак"/>
    <w:link w:val="afa"/>
    <w:uiPriority w:val="99"/>
    <w:semiHidden/>
    <w:rsid w:val="00572DC2"/>
    <w:rPr>
      <w:rFonts w:eastAsia="Times New Roman"/>
      <w:b/>
      <w:bCs/>
      <w:sz w:val="20"/>
      <w:szCs w:val="20"/>
      <w:lang w:val="x-none" w:eastAsia="x-none"/>
    </w:rPr>
  </w:style>
  <w:style w:type="paragraph" w:styleId="afa">
    <w:name w:val="annotation subject"/>
    <w:basedOn w:val="ae"/>
    <w:next w:val="ae"/>
    <w:link w:val="af9"/>
    <w:uiPriority w:val="99"/>
    <w:semiHidden/>
    <w:unhideWhenUsed/>
    <w:rsid w:val="00572DC2"/>
    <w:rPr>
      <w:b/>
      <w:bCs/>
    </w:rPr>
  </w:style>
  <w:style w:type="character" w:customStyle="1" w:styleId="afb">
    <w:name w:val="Без интервала Знак"/>
    <w:link w:val="afc"/>
    <w:uiPriority w:val="99"/>
    <w:locked/>
    <w:rsid w:val="00572DC2"/>
    <w:rPr>
      <w:lang w:eastAsia="en-US"/>
    </w:rPr>
  </w:style>
  <w:style w:type="paragraph" w:styleId="afc">
    <w:name w:val="No Spacing"/>
    <w:link w:val="afb"/>
    <w:uiPriority w:val="99"/>
    <w:qFormat/>
    <w:rsid w:val="00572DC2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572D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72DC2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OEM">
    <w:name w:val="Нормальный (OEM)"/>
    <w:basedOn w:val="a0"/>
    <w:next w:val="a0"/>
    <w:uiPriority w:val="99"/>
    <w:rsid w:val="00572DC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72DC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72DC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Без интервала1"/>
    <w:rsid w:val="00572DC2"/>
    <w:rPr>
      <w:rFonts w:eastAsia="Times New Roman"/>
      <w:sz w:val="22"/>
      <w:szCs w:val="22"/>
      <w:lang w:eastAsia="en-US"/>
    </w:rPr>
  </w:style>
  <w:style w:type="paragraph" w:customStyle="1" w:styleId="font5">
    <w:name w:val="font5"/>
    <w:basedOn w:val="a0"/>
    <w:rsid w:val="00572DC2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0"/>
    <w:rsid w:val="00572DC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6">
    <w:name w:val="xl66"/>
    <w:basedOn w:val="a0"/>
    <w:rsid w:val="00572DC2"/>
    <w:pPr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67">
    <w:name w:val="xl67"/>
    <w:basedOn w:val="a0"/>
    <w:rsid w:val="00572DC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572DC2"/>
    <w:pPr>
      <w:shd w:val="clear" w:color="auto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572DC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572DC2"/>
    <w:pP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572DC2"/>
    <w:pPr>
      <w:shd w:val="clear" w:color="auto" w:fill="FFFFFF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i/>
      <w:iCs/>
      <w:lang w:eastAsia="ru-RU"/>
    </w:rPr>
  </w:style>
  <w:style w:type="paragraph" w:customStyle="1" w:styleId="xl81">
    <w:name w:val="xl81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sz w:val="24"/>
      <w:szCs w:val="24"/>
      <w:lang w:eastAsia="ru-RU"/>
    </w:rPr>
  </w:style>
  <w:style w:type="paragraph" w:customStyle="1" w:styleId="xl82">
    <w:name w:val="xl82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3">
    <w:name w:val="xl83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i/>
      <w:iCs/>
      <w:lang w:eastAsia="ru-RU"/>
    </w:rPr>
  </w:style>
  <w:style w:type="paragraph" w:customStyle="1" w:styleId="xl84">
    <w:name w:val="xl84"/>
    <w:basedOn w:val="a0"/>
    <w:rsid w:val="00572DC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572DC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572DC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9">
    <w:name w:val="xl89"/>
    <w:basedOn w:val="a0"/>
    <w:rsid w:val="00572DC2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0">
    <w:name w:val="xl90"/>
    <w:basedOn w:val="a0"/>
    <w:rsid w:val="00572DC2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572DC2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3">
    <w:name w:val="xl93"/>
    <w:basedOn w:val="a0"/>
    <w:rsid w:val="00572DC2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4">
    <w:name w:val="xl94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5">
    <w:name w:val="xl95"/>
    <w:basedOn w:val="a0"/>
    <w:rsid w:val="00572DC2"/>
    <w:pP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572DC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572DC2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572DC2"/>
    <w:pP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572DC2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572DC2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572DC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0">
    <w:name w:val="xl110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1">
    <w:name w:val="xl111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572DC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6">
    <w:name w:val="xl116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7">
    <w:name w:val="xl117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8">
    <w:name w:val="xl118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9">
    <w:name w:val="xl119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0">
    <w:name w:val="xl120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1">
    <w:name w:val="xl121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2">
    <w:name w:val="xl122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0"/>
    <w:rsid w:val="00572DC2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4">
    <w:name w:val="xl124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5">
    <w:name w:val="xl125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6">
    <w:name w:val="xl126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7">
    <w:name w:val="xl127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128">
    <w:name w:val="xl128"/>
    <w:basedOn w:val="a0"/>
    <w:rsid w:val="00572DC2"/>
    <w:pPr>
      <w:shd w:val="clear" w:color="auto" w:fill="FFFF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0">
    <w:name w:val="xl130"/>
    <w:basedOn w:val="a0"/>
    <w:rsid w:val="00572DC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1">
    <w:name w:val="xl131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3">
    <w:name w:val="xl133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4">
    <w:name w:val="xl134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5">
    <w:name w:val="xl135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6">
    <w:name w:val="xl136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37">
    <w:name w:val="xl137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stylet3">
    <w:name w:val="stylet3"/>
    <w:basedOn w:val="a0"/>
    <w:rsid w:val="00572D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d">
    <w:name w:val="Содержимое таблицы"/>
    <w:basedOn w:val="a0"/>
    <w:rsid w:val="00572DC2"/>
    <w:pPr>
      <w:suppressLineNumbers/>
    </w:pPr>
    <w:rPr>
      <w:sz w:val="24"/>
      <w:szCs w:val="24"/>
    </w:rPr>
  </w:style>
  <w:style w:type="paragraph" w:customStyle="1" w:styleId="12">
    <w:name w:val="Подзаголовок1"/>
    <w:basedOn w:val="a0"/>
    <w:next w:val="a0"/>
    <w:uiPriority w:val="11"/>
    <w:qFormat/>
    <w:rsid w:val="00572DC2"/>
    <w:pPr>
      <w:suppressAutoHyphens w:val="0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572DC2"/>
    <w:pPr>
      <w:tabs>
        <w:tab w:val="left" w:pos="709"/>
      </w:tabs>
      <w:suppressAutoHyphens/>
      <w:spacing w:line="100" w:lineRule="atLeast"/>
    </w:pPr>
    <w:rPr>
      <w:rFonts w:ascii="Times New Roman" w:eastAsia="Arial" w:hAnsi="Times New Roman"/>
      <w:lang w:eastAsia="ar-SA"/>
    </w:rPr>
  </w:style>
  <w:style w:type="paragraph" w:customStyle="1" w:styleId="Style6">
    <w:name w:val="Style6"/>
    <w:basedOn w:val="WW-"/>
    <w:rsid w:val="00572DC2"/>
  </w:style>
  <w:style w:type="paragraph" w:customStyle="1" w:styleId="Style3">
    <w:name w:val="Style3"/>
    <w:basedOn w:val="WW-"/>
    <w:rsid w:val="00572DC2"/>
  </w:style>
  <w:style w:type="paragraph" w:customStyle="1" w:styleId="2">
    <w:name w:val="Глава Ч 2"/>
    <w:basedOn w:val="aa"/>
    <w:qFormat/>
    <w:rsid w:val="00572DC2"/>
    <w:pPr>
      <w:numPr>
        <w:numId w:val="4"/>
      </w:numPr>
      <w:spacing w:before="0" w:beforeAutospacing="0" w:after="0" w:afterAutospacing="0"/>
      <w:ind w:left="0" w:firstLine="0"/>
      <w:jc w:val="center"/>
    </w:pPr>
    <w:rPr>
      <w:b/>
      <w:sz w:val="26"/>
      <w:szCs w:val="26"/>
    </w:rPr>
  </w:style>
  <w:style w:type="paragraph" w:customStyle="1" w:styleId="Default">
    <w:name w:val="Default"/>
    <w:rsid w:val="00572DC2"/>
    <w:pPr>
      <w:autoSpaceDE w:val="0"/>
      <w:autoSpaceDN w:val="0"/>
      <w:adjustRightInd w:val="0"/>
      <w:jc w:val="center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a">
    <w:name w:val="Параграф"/>
    <w:basedOn w:val="a6"/>
    <w:qFormat/>
    <w:rsid w:val="00572DC2"/>
    <w:pPr>
      <w:numPr>
        <w:ilvl w:val="2"/>
        <w:numId w:val="6"/>
      </w:numPr>
      <w:suppressAutoHyphens w:val="0"/>
      <w:contextualSpacing/>
      <w:jc w:val="center"/>
    </w:pPr>
    <w:rPr>
      <w:b/>
      <w:sz w:val="26"/>
      <w:szCs w:val="26"/>
      <w:lang w:eastAsia="ru-RU"/>
    </w:rPr>
  </w:style>
  <w:style w:type="paragraph" w:customStyle="1" w:styleId="ConsNormal">
    <w:name w:val="ConsNormal"/>
    <w:rsid w:val="00572DC2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rsid w:val="00572DC2"/>
    <w:pPr>
      <w:suppressAutoHyphens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38">
    <w:name w:val="xl138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139">
    <w:name w:val="xl139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40">
    <w:name w:val="xl140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1">
    <w:name w:val="xl141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3">
    <w:name w:val="xl143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4">
    <w:name w:val="xl144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5">
    <w:name w:val="xl145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6">
    <w:name w:val="xl146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7">
    <w:name w:val="xl147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48">
    <w:name w:val="xl148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0"/>
    <w:rsid w:val="00572DC2"/>
    <w:pPr>
      <w:pBdr>
        <w:top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0">
    <w:name w:val="xl150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1">
    <w:name w:val="xl151"/>
    <w:basedOn w:val="a0"/>
    <w:rsid w:val="00572DC2"/>
    <w:pP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572DC2"/>
    <w:pPr>
      <w:pBdr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3">
    <w:name w:val="xl153"/>
    <w:basedOn w:val="a0"/>
    <w:rsid w:val="00572DC2"/>
    <w:pPr>
      <w:pBdr>
        <w:bottom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6">
    <w:name w:val="xl156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572DC2"/>
    <w:pPr>
      <w:pBdr>
        <w:left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0">
    <w:name w:val="xl160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61">
    <w:name w:val="xl161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2">
    <w:name w:val="xl162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3">
    <w:name w:val="xl163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4">
    <w:name w:val="xl164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5">
    <w:name w:val="xl165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6">
    <w:name w:val="xl166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7">
    <w:name w:val="xl167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8">
    <w:name w:val="xl168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69">
    <w:name w:val="xl169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0">
    <w:name w:val="xl170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1">
    <w:name w:val="xl171"/>
    <w:basedOn w:val="a0"/>
    <w:rsid w:val="00572DC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2">
    <w:name w:val="xl172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3">
    <w:name w:val="xl173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4">
    <w:name w:val="xl174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5">
    <w:name w:val="xl175"/>
    <w:basedOn w:val="a0"/>
    <w:rsid w:val="00572DC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6">
    <w:name w:val="xl176"/>
    <w:basedOn w:val="a0"/>
    <w:rsid w:val="00572DC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7">
    <w:name w:val="xl177"/>
    <w:basedOn w:val="a0"/>
    <w:rsid w:val="00572DC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8">
    <w:name w:val="xl178"/>
    <w:basedOn w:val="a0"/>
    <w:rsid w:val="00572DC2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79">
    <w:name w:val="xl179"/>
    <w:basedOn w:val="a0"/>
    <w:rsid w:val="00572DC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0">
    <w:name w:val="xl180"/>
    <w:basedOn w:val="a0"/>
    <w:rsid w:val="00572DC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1">
    <w:name w:val="xl181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2">
    <w:name w:val="xl182"/>
    <w:basedOn w:val="a0"/>
    <w:rsid w:val="00572DC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3">
    <w:name w:val="xl183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84">
    <w:name w:val="xl184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5">
    <w:name w:val="xl185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7">
    <w:name w:val="xl187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8">
    <w:name w:val="xl188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89">
    <w:name w:val="xl189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0">
    <w:name w:val="xl190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191">
    <w:name w:val="xl191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2">
    <w:name w:val="xl192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3">
    <w:name w:val="xl193"/>
    <w:basedOn w:val="a0"/>
    <w:rsid w:val="00572DC2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4">
    <w:name w:val="xl194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5">
    <w:name w:val="xl195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6">
    <w:name w:val="xl196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7">
    <w:name w:val="xl197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98">
    <w:name w:val="xl198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99">
    <w:name w:val="xl199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200">
    <w:name w:val="xl200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1">
    <w:name w:val="xl201"/>
    <w:basedOn w:val="a0"/>
    <w:rsid w:val="00572DC2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2">
    <w:name w:val="xl202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203">
    <w:name w:val="xl203"/>
    <w:basedOn w:val="a0"/>
    <w:rsid w:val="00572DC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4">
    <w:name w:val="xl204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5">
    <w:name w:val="xl205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206">
    <w:name w:val="xl206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7">
    <w:name w:val="xl207"/>
    <w:basedOn w:val="a0"/>
    <w:rsid w:val="00572DC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8">
    <w:name w:val="xl208"/>
    <w:basedOn w:val="a0"/>
    <w:rsid w:val="00572DC2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09">
    <w:name w:val="xl209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0">
    <w:name w:val="xl210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1">
    <w:name w:val="xl211"/>
    <w:basedOn w:val="a0"/>
    <w:rsid w:val="00572DC2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2">
    <w:name w:val="xl212"/>
    <w:basedOn w:val="a0"/>
    <w:rsid w:val="00572DC2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3">
    <w:name w:val="xl213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4">
    <w:name w:val="xl214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5">
    <w:name w:val="xl215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18">
    <w:name w:val="xl218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19">
    <w:name w:val="xl219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0">
    <w:name w:val="xl220"/>
    <w:basedOn w:val="a0"/>
    <w:rsid w:val="00572DC2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1">
    <w:name w:val="xl221"/>
    <w:basedOn w:val="a0"/>
    <w:rsid w:val="00572DC2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2">
    <w:name w:val="xl222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3">
    <w:name w:val="xl223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4">
    <w:name w:val="xl224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25">
    <w:name w:val="xl225"/>
    <w:basedOn w:val="a0"/>
    <w:rsid w:val="00572DC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6">
    <w:name w:val="xl226"/>
    <w:basedOn w:val="a0"/>
    <w:rsid w:val="00572DC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227">
    <w:name w:val="xl227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8">
    <w:name w:val="xl228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29">
    <w:name w:val="xl229"/>
    <w:basedOn w:val="a0"/>
    <w:rsid w:val="00572DC2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0">
    <w:name w:val="xl230"/>
    <w:basedOn w:val="a0"/>
    <w:rsid w:val="00572DC2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1">
    <w:name w:val="xl231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2">
    <w:name w:val="xl232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3">
    <w:name w:val="xl233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34">
    <w:name w:val="xl234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5">
    <w:name w:val="xl235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6">
    <w:name w:val="xl236"/>
    <w:basedOn w:val="a0"/>
    <w:rsid w:val="00572DC2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7">
    <w:name w:val="xl237"/>
    <w:basedOn w:val="a0"/>
    <w:rsid w:val="00572DC2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8">
    <w:name w:val="xl238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39">
    <w:name w:val="xl239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0">
    <w:name w:val="xl240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1">
    <w:name w:val="xl241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2">
    <w:name w:val="xl242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3">
    <w:name w:val="xl243"/>
    <w:basedOn w:val="a0"/>
    <w:rsid w:val="00572DC2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4">
    <w:name w:val="xl244"/>
    <w:basedOn w:val="a0"/>
    <w:rsid w:val="00572DC2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5">
    <w:name w:val="xl245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6">
    <w:name w:val="xl246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7">
    <w:name w:val="xl247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48">
    <w:name w:val="xl248"/>
    <w:basedOn w:val="a0"/>
    <w:rsid w:val="00572DC2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49">
    <w:name w:val="xl249"/>
    <w:basedOn w:val="a0"/>
    <w:rsid w:val="00572DC2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0">
    <w:name w:val="xl250"/>
    <w:basedOn w:val="a0"/>
    <w:rsid w:val="00572DC2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1">
    <w:name w:val="xl251"/>
    <w:basedOn w:val="a0"/>
    <w:rsid w:val="00572DC2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2">
    <w:name w:val="xl252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3">
    <w:name w:val="xl253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4">
    <w:name w:val="xl254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255">
    <w:name w:val="xl255"/>
    <w:basedOn w:val="a0"/>
    <w:rsid w:val="00572DC2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6">
    <w:name w:val="xl256"/>
    <w:basedOn w:val="a0"/>
    <w:rsid w:val="00572DC2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257">
    <w:name w:val="xl257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afe">
    <w:name w:val="параграф"/>
    <w:basedOn w:val="a0"/>
    <w:uiPriority w:val="99"/>
    <w:qFormat/>
    <w:rsid w:val="00572DC2"/>
    <w:pPr>
      <w:suppressAutoHyphens w:val="0"/>
      <w:jc w:val="both"/>
    </w:pPr>
    <w:rPr>
      <w:b/>
      <w:sz w:val="24"/>
      <w:szCs w:val="24"/>
      <w:lang w:eastAsia="ru-RU"/>
    </w:rPr>
  </w:style>
  <w:style w:type="paragraph" w:customStyle="1" w:styleId="font6">
    <w:name w:val="font6"/>
    <w:basedOn w:val="a0"/>
    <w:rsid w:val="00572DC2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31">
    <w:name w:val="Основной текст 31"/>
    <w:basedOn w:val="a0"/>
    <w:rsid w:val="00572DC2"/>
    <w:pPr>
      <w:jc w:val="both"/>
    </w:pPr>
  </w:style>
  <w:style w:type="paragraph" w:customStyle="1" w:styleId="font7">
    <w:name w:val="font7"/>
    <w:basedOn w:val="a0"/>
    <w:rsid w:val="00572DC2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572DC2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rsid w:val="00572DC2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font10">
    <w:name w:val="font10"/>
    <w:basedOn w:val="a0"/>
    <w:rsid w:val="00572DC2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msonormal0">
    <w:name w:val="msonormal"/>
    <w:basedOn w:val="a0"/>
    <w:rsid w:val="00572DC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4">
    <w:name w:val="xl64"/>
    <w:basedOn w:val="a0"/>
    <w:rsid w:val="00572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character" w:customStyle="1" w:styleId="32">
    <w:name w:val="Основной шрифт абзаца3"/>
    <w:rsid w:val="00572DC2"/>
  </w:style>
  <w:style w:type="character" w:customStyle="1" w:styleId="Absatz-Standardschriftart">
    <w:name w:val="Absatz-Standardschriftart"/>
    <w:rsid w:val="00572DC2"/>
  </w:style>
  <w:style w:type="character" w:customStyle="1" w:styleId="13">
    <w:name w:val="Подзаголовок Знак1"/>
    <w:uiPriority w:val="11"/>
    <w:rsid w:val="00572DC2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aff">
    <w:name w:val="Гипертекстовая ссылка"/>
    <w:uiPriority w:val="99"/>
    <w:rsid w:val="00572DC2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1B4A7E2741ACEE0384F905B4F469AD0A77EEACCA289C7E44C4865203A07286839BC79A3D1640C5z3Y9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1B4A7E2741ACEE0384E708A2983EA20F7CB2A8CF29932A1E9380055CF074D3C3DBC1CF7E5149C7388229E8z6Y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1AD97D15796F90FBB6CAE57D083E8A3BCE28F7305D15641F3EDB4F45035N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AD97D15796F90FBB6CAE57D083E8A3BCE7847701D35641F3EDB4F45035NC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27</Pages>
  <Words>7809</Words>
  <Characters>44515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13</cp:revision>
  <cp:lastPrinted>2019-12-24T05:09:00Z</cp:lastPrinted>
  <dcterms:created xsi:type="dcterms:W3CDTF">2011-11-15T08:57:00Z</dcterms:created>
  <dcterms:modified xsi:type="dcterms:W3CDTF">2019-12-24T11:31:00Z</dcterms:modified>
</cp:coreProperties>
</file>