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F" w:rsidRPr="00556776" w:rsidRDefault="00B33A6F" w:rsidP="00B33A6F">
      <w:pPr>
        <w:ind w:right="-2"/>
        <w:jc w:val="center"/>
        <w:rPr>
          <w:rFonts w:ascii="PT Astra Serif" w:eastAsia="Calibri" w:hAnsi="PT Astra Serif"/>
          <w:color w:val="000000" w:themeColor="text1"/>
          <w:sz w:val="24"/>
          <w:szCs w:val="22"/>
          <w:lang w:eastAsia="en-US"/>
        </w:rPr>
      </w:pPr>
      <w:r w:rsidRPr="00556776">
        <w:rPr>
          <w:rFonts w:ascii="PT Astra Serif" w:eastAsia="Calibri" w:hAnsi="PT Astra Serif"/>
          <w:noProof/>
          <w:color w:val="000000" w:themeColor="text1"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E9032" wp14:editId="383EB20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A6F" w:rsidRPr="003C5141" w:rsidRDefault="00B33A6F" w:rsidP="00B33A6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33A6F" w:rsidRPr="003C5141" w:rsidRDefault="00B33A6F" w:rsidP="00B33A6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56776">
        <w:rPr>
          <w:rFonts w:ascii="PT Astra Serif" w:eastAsia="Calibri" w:hAnsi="PT Astra Serif"/>
          <w:noProof/>
          <w:color w:val="000000" w:themeColor="text1"/>
          <w:sz w:val="24"/>
          <w:szCs w:val="22"/>
          <w:lang w:eastAsia="ru-RU"/>
        </w:rPr>
        <w:drawing>
          <wp:inline distT="0" distB="0" distL="0" distR="0" wp14:anchorId="57A9A002" wp14:editId="216C46CB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6F" w:rsidRPr="00556776" w:rsidRDefault="00B33A6F" w:rsidP="00B33A6F">
      <w:pPr>
        <w:ind w:right="-2"/>
        <w:jc w:val="center"/>
        <w:rPr>
          <w:rFonts w:ascii="PT Astra Serif" w:eastAsia="Calibri" w:hAnsi="PT Astra Serif"/>
          <w:color w:val="000000" w:themeColor="text1"/>
          <w:sz w:val="24"/>
          <w:szCs w:val="22"/>
          <w:lang w:eastAsia="en-US"/>
        </w:rPr>
      </w:pPr>
    </w:p>
    <w:p w:rsidR="00B33A6F" w:rsidRPr="00556776" w:rsidRDefault="00B33A6F" w:rsidP="00B33A6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color w:val="000000" w:themeColor="text1"/>
          <w:spacing w:val="20"/>
          <w:sz w:val="32"/>
          <w:szCs w:val="22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pacing w:val="20"/>
          <w:sz w:val="32"/>
          <w:szCs w:val="22"/>
          <w:lang w:eastAsia="en-US"/>
        </w:rPr>
        <w:t>АДМИНИСТРАЦИЯ ГОРОДА ЮГОРСКА</w:t>
      </w:r>
    </w:p>
    <w:p w:rsidR="00B33A6F" w:rsidRPr="00556776" w:rsidRDefault="00B33A6F" w:rsidP="00B33A6F">
      <w:pPr>
        <w:ind w:right="-2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Ханты-Мансийского автономного округа - Югры</w:t>
      </w:r>
    </w:p>
    <w:p w:rsidR="00B33A6F" w:rsidRPr="00556776" w:rsidRDefault="00B33A6F" w:rsidP="00B33A6F">
      <w:pPr>
        <w:ind w:right="-2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B33A6F" w:rsidRPr="00556776" w:rsidRDefault="00B33A6F" w:rsidP="00B33A6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color w:val="000000" w:themeColor="text1"/>
          <w:spacing w:val="20"/>
          <w:sz w:val="24"/>
          <w:szCs w:val="24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pacing w:val="20"/>
          <w:sz w:val="36"/>
          <w:szCs w:val="36"/>
          <w:lang w:eastAsia="en-US"/>
        </w:rPr>
        <w:t>ПОСТАНОВЛЕНИЕ</w:t>
      </w:r>
    </w:p>
    <w:p w:rsidR="00B33A6F" w:rsidRPr="00556776" w:rsidRDefault="00B33A6F" w:rsidP="00B33A6F">
      <w:pPr>
        <w:rPr>
          <w:rFonts w:ascii="PT Astra Serif" w:eastAsia="Calibri" w:hAnsi="PT Astra Serif"/>
          <w:color w:val="000000" w:themeColor="text1"/>
          <w:sz w:val="28"/>
          <w:szCs w:val="26"/>
          <w:lang w:eastAsia="en-US"/>
        </w:rPr>
      </w:pPr>
    </w:p>
    <w:p w:rsidR="00B33A6F" w:rsidRPr="00556776" w:rsidRDefault="00B33A6F" w:rsidP="00B33A6F">
      <w:pPr>
        <w:rPr>
          <w:rFonts w:ascii="PT Astra Serif" w:eastAsia="Calibri" w:hAnsi="PT Astra Serif"/>
          <w:color w:val="000000" w:themeColor="text1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56776" w:rsidRPr="00556776" w:rsidTr="006F44C5">
        <w:trPr>
          <w:trHeight w:val="227"/>
        </w:trPr>
        <w:tc>
          <w:tcPr>
            <w:tcW w:w="2563" w:type="pct"/>
          </w:tcPr>
          <w:p w:rsidR="00B33A6F" w:rsidRPr="00556776" w:rsidRDefault="00B33A6F" w:rsidP="00573454">
            <w:pPr>
              <w:suppressAutoHyphens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</w:pPr>
            <w:r w:rsidRPr="00556776"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  <w:t xml:space="preserve">от </w:t>
            </w:r>
            <w:r w:rsidR="00AD57D0"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  <w:t>12.10.2023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B33A6F" w:rsidRPr="00556776" w:rsidRDefault="00B33A6F" w:rsidP="00573454">
            <w:pPr>
              <w:suppressAutoHyphens w:val="0"/>
              <w:contextualSpacing/>
              <w:jc w:val="right"/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</w:pPr>
            <w:r w:rsidRPr="00556776"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  <w:t xml:space="preserve">№ </w:t>
            </w:r>
            <w:r w:rsidR="00AD57D0">
              <w:rPr>
                <w:rFonts w:ascii="PT Astra Serif" w:hAnsi="PT Astra Serif"/>
                <w:color w:val="000000" w:themeColor="text1"/>
                <w:sz w:val="28"/>
                <w:szCs w:val="26"/>
                <w:lang w:eastAsia="ru-RU"/>
              </w:rPr>
              <w:t>1389-п</w:t>
            </w:r>
          </w:p>
        </w:tc>
      </w:tr>
    </w:tbl>
    <w:p w:rsidR="00B33A6F" w:rsidRPr="00556776" w:rsidRDefault="00B33A6F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val="en-US" w:eastAsia="en-US"/>
        </w:rPr>
      </w:pPr>
    </w:p>
    <w:p w:rsidR="00B33A6F" w:rsidRPr="00556776" w:rsidRDefault="00B33A6F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</w:t>
      </w: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администрации города Югорска </w:t>
      </w: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от 26.02.2021 № 208-п «О предоставлении</w:t>
      </w: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субсидий из бюджета города Югорска</w:t>
      </w:r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на поддержку </w:t>
      </w:r>
      <w:proofErr w:type="gram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сельскохозяйственного</w:t>
      </w:r>
      <w:proofErr w:type="gramEnd"/>
    </w:p>
    <w:p w:rsidR="00820810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производства и деятельности по заготовке </w:t>
      </w:r>
    </w:p>
    <w:p w:rsidR="00A80D6A" w:rsidRPr="00556776" w:rsidRDefault="00820810" w:rsidP="00B33A6F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 переработке дикоросов»</w:t>
      </w:r>
    </w:p>
    <w:p w:rsidR="00EB09F0" w:rsidRPr="00556776" w:rsidRDefault="00EB09F0" w:rsidP="00B33A6F">
      <w:pPr>
        <w:spacing w:line="276" w:lineRule="auto"/>
        <w:ind w:firstLine="709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EB09F0" w:rsidRPr="00556776" w:rsidRDefault="00EB09F0" w:rsidP="00B33A6F">
      <w:pPr>
        <w:spacing w:line="276" w:lineRule="auto"/>
        <w:ind w:firstLine="709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B33A6F" w:rsidRPr="00556776" w:rsidRDefault="00B33A6F" w:rsidP="00B33A6F">
      <w:pPr>
        <w:spacing w:line="276" w:lineRule="auto"/>
        <w:ind w:firstLine="709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E2604E" w:rsidRPr="00556776" w:rsidRDefault="00E2604E" w:rsidP="00B33A6F">
      <w:pPr>
        <w:keepNext/>
        <w:keepLines/>
        <w:suppressAutoHyphens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556776">
        <w:rPr>
          <w:rFonts w:ascii="PT Astra Serif" w:hAnsi="PT Astra Serif"/>
          <w:bCs/>
          <w:color w:val="000000" w:themeColor="text1"/>
          <w:sz w:val="28"/>
          <w:szCs w:val="28"/>
        </w:rPr>
        <w:t>В соответствии с постановлением Правительства Ханты-Мансийского автономного округа – Югры от 30.12.2021 № 637-п «О мерах по</w:t>
      </w:r>
      <w:r w:rsidR="00B33A6F" w:rsidRPr="0055677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</w:t>
      </w:r>
      <w:r w:rsidRPr="0055677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реализации государственной программы Ханты-Мансийского автономного округа - Югры «Развитие агропромышленного комплекса»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2604E" w:rsidRPr="00556776" w:rsidRDefault="00E2604E" w:rsidP="00B33A6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r w:rsidR="00647CBE" w:rsidRPr="00556776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>риложение 3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к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постановлени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 Югорска от 26.02.2021 № 208-п «О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дикоросов» (с изменениями </w:t>
      </w:r>
      <w:r w:rsidR="00B33A6F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от 24.06.2021 № 1138-п, от 27.10.2021 № 2041-п, от 13.01.2022 № 25-п, </w:t>
      </w:r>
      <w:r w:rsidR="00B33A6F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от 29.06.2022 № 1415-п, от 24.08.2022 № 1815-п, от 28.09.2022 № 2047-п, </w:t>
      </w:r>
      <w:r w:rsidR="00B33A6F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               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от 30.12.2022 № 2771-п, от 17.02.2023 № 208-п, от 11.04.2023 № 470-п</w:t>
      </w:r>
      <w:r w:rsidR="00BB6502" w:rsidRPr="0055677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B33A6F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</w:t>
      </w:r>
      <w:r w:rsidR="00BB6502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от</w:t>
      </w:r>
      <w:proofErr w:type="gramEnd"/>
      <w:r w:rsidR="00BB6502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BB6502" w:rsidRPr="00556776">
        <w:rPr>
          <w:rFonts w:ascii="PT Astra Serif" w:hAnsi="PT Astra Serif"/>
          <w:color w:val="000000" w:themeColor="text1"/>
          <w:sz w:val="28"/>
          <w:szCs w:val="28"/>
        </w:rPr>
        <w:t>06.06.2023 № 749-п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) следующие изменения:</w:t>
      </w:r>
      <w:proofErr w:type="gramEnd"/>
    </w:p>
    <w:p w:rsidR="00E2604E" w:rsidRPr="00556776" w:rsidRDefault="00E941A7" w:rsidP="00B33A6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 w:rsidRPr="00556776">
        <w:rPr>
          <w:rFonts w:ascii="PT Astra Serif" w:hAnsi="PT Astra Serif"/>
          <w:color w:val="000000" w:themeColor="text1"/>
          <w:sz w:val="28"/>
          <w:szCs w:val="28"/>
        </w:rPr>
        <w:t xml:space="preserve">1.1. 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>Абзац первый</w:t>
      </w:r>
      <w:r w:rsidR="00647165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пункт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47165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1.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5 раздела 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после </w:t>
      </w:r>
      <w:r w:rsidR="00647165" w:rsidRPr="00556776">
        <w:rPr>
          <w:rFonts w:ascii="PT Astra Serif" w:hAnsi="PT Astra Serif"/>
          <w:color w:val="000000" w:themeColor="text1"/>
          <w:sz w:val="28"/>
          <w:szCs w:val="28"/>
        </w:rPr>
        <w:t>слов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«собственного производства» дополнить словами </w:t>
      </w:r>
      <w:r w:rsidR="00F13662" w:rsidRPr="00556776">
        <w:rPr>
          <w:rFonts w:ascii="PT Astra Serif" w:hAnsi="PT Astra Serif"/>
          <w:color w:val="000000" w:themeColor="text1"/>
          <w:sz w:val="28"/>
          <w:szCs w:val="28"/>
        </w:rPr>
        <w:t>«,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за исключением </w:t>
      </w:r>
      <w:r w:rsidR="00F13662" w:rsidRPr="00556776">
        <w:rPr>
          <w:rFonts w:ascii="PT Astra Serif" w:hAnsi="PT Astra Serif"/>
          <w:color w:val="000000" w:themeColor="text1"/>
          <w:sz w:val="28"/>
          <w:szCs w:val="28"/>
        </w:rPr>
        <w:t>сельскохозяйственн</w:t>
      </w:r>
      <w:r w:rsidR="002B44C9" w:rsidRPr="00556776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D1203B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х </w:t>
      </w:r>
      <w:r w:rsidR="00F13662" w:rsidRPr="00556776">
        <w:rPr>
          <w:rFonts w:ascii="PT Astra Serif" w:hAnsi="PT Astra Serif"/>
          <w:color w:val="000000" w:themeColor="text1"/>
          <w:sz w:val="28"/>
          <w:szCs w:val="28"/>
        </w:rPr>
        <w:t>кредитных потребительских кооперативов,».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</w:p>
    <w:p w:rsidR="00E2604E" w:rsidRPr="00556776" w:rsidRDefault="00E941A7" w:rsidP="00B33A6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677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.2. В разделе 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  <w:lang w:val="en-US"/>
        </w:rPr>
        <w:t>II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2604E" w:rsidRPr="00556776" w:rsidRDefault="00E941A7" w:rsidP="00B33A6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6776">
        <w:rPr>
          <w:rFonts w:ascii="PT Astra Serif" w:hAnsi="PT Astra Serif"/>
          <w:color w:val="000000" w:themeColor="text1"/>
          <w:sz w:val="28"/>
          <w:szCs w:val="28"/>
        </w:rPr>
        <w:lastRenderedPageBreak/>
        <w:t>1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.2.1. </w:t>
      </w:r>
      <w:r w:rsidR="00B33A6F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Подпункты 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>2.1.1-2.1.5 п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</w:rPr>
        <w:t>ункт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E2604E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2.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92685C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«2.1.1. На строительство объекта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* 50 %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от произведенных фактических затрат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но не более 10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 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000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(десять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тысяч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)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конструкций), где: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размер Субсидии на строительство объекта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фактическая стоимость строительства.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2.1.2. На строительство мобильного высокотехнологичного убойного пункта с целью сбора эндокринно-ферментного и специального сырья при убое оленей - для юридических лиц - оленеводческих организаций.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* 50 %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от произведенных фактических затрат,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но не более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8</w:t>
      </w:r>
      <w:r w:rsidR="00573454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 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000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(восемь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тысяч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) рублей на 1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пункт, где: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размер Субсидии на строительство мобильного высокотехнологичного убойного пункта с целью сбора эндокринно-ферментного и специального сырья при убое оленей - для юридических </w:t>
      </w:r>
      <w:r w:rsidR="009A5E41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лиц - оленеводческих организаций;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фактическая стоимость строительства.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2.1.3. На приобретение 1 комплекта сельскохозяйственного оборудования, 1 единицы или 1 комплекта оборудования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для перерабатывающих производств сельскохозяйственной, рыбной продукции.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* 50 %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от произведенных фактических затрат,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но не более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 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000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(две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тысяч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и) рублей за 1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комплект сельскохозяйственного оборудования, 1 единицы или 1 комплекта оборудования, где: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размер Субсидии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на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приобретение 1 комплекта сельскохозяйственного оборудования, 1 единицы или 1 комплекта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lastRenderedPageBreak/>
        <w:t>оборудования для перерабатывающих производств сельскохозяйственной, рыбной продукции;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фактическая стоимость приобретения.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2.1.4. На приобретение 1 единицы сельскохозяйственной техники, средств механизации, автоматизации сельскохозяйственных производств, транспортных средств.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* 50 %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от произведенных фактических затрат,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но не более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3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 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000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(три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тысяч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и)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рублей на 1 единицу сельскохозяйственной техники, средств механизации, автоматизации сельскохозяйственных производств, транспортных средств, где: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размер Субсидии на приобретение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1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единицы сельскохозяйственной техники, средств механизации, автоматизации сельскохозяйственных производств, транспортных средств;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фактическая стоимость приобретения.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2.1.5. На приобретение 1 единицы или 1 комплекта оборудования для обязательной маркировки молочной продукции средствами идентификации.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* 80 %</w:t>
      </w:r>
      <w:r w:rsidR="00367593" w:rsidRPr="0055677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759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от произведенных фактических затрат,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где: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Ci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размер Субсидии на приобретение 1 единицы или 1 комплекта оборудования для обязательной маркировки молочной продукции средствами идентификации;</w:t>
      </w:r>
    </w:p>
    <w:p w:rsidR="0092685C" w:rsidRPr="00556776" w:rsidRDefault="0092685C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proofErr w:type="spell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Vi</w:t>
      </w:r>
      <w:proofErr w:type="spell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- фактическая стоимость приобретения</w:t>
      </w:r>
      <w:proofErr w:type="gram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  <w:r w:rsidR="001F510B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0769CB" w:rsidRPr="00556776" w:rsidRDefault="000769CB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1.2.2. Абзац первый подпункта 2.4.</w:t>
      </w:r>
      <w:r w:rsidR="0092685C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пункта 2.4 изложить в следующей редакции:</w:t>
      </w:r>
    </w:p>
    <w:p w:rsidR="000769CB" w:rsidRPr="00556776" w:rsidRDefault="000769CB" w:rsidP="00B33A6F">
      <w:pPr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highlight w:val="yellow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«2.4.2. </w:t>
      </w:r>
      <w:proofErr w:type="gram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На приобретение сельскохозяйственной техники </w:t>
      </w:r>
      <w:r w:rsidR="00F211A8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</w:t>
      </w:r>
      <w:r w:rsidR="00F211A8" w:rsidRPr="00556776">
        <w:rPr>
          <w:rFonts w:ascii="PT Astra Serif" w:hAnsi="PT Astra Serif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F211A8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сельскохозяйственного</w:t>
      </w:r>
      <w:r w:rsidR="00F211A8" w:rsidRPr="00556776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 xml:space="preserve">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оборудования, средств механизации и автоматизации с</w:t>
      </w:r>
      <w:r w:rsidR="00A46FA3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ельскохозяйственных производств,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транспортных средств, на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приобретение оборудования для перерабатывающих производств сельскохозяйственной и рыбной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на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округа-Югры, на</w:t>
      </w:r>
      <w:proofErr w:type="gram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возведение модульных цехов по переработке сельскохозяйственной, </w:t>
      </w:r>
      <w:r w:rsidR="00B33A6F"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        </w:t>
      </w: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рыбной продукции (приобретение, монтаж и оснащение модульных конструкций)</w:t>
      </w:r>
      <w:proofErr w:type="gramStart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:»</w:t>
      </w:r>
      <w:proofErr w:type="gramEnd"/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E2604E" w:rsidRPr="00556776" w:rsidRDefault="00E2604E" w:rsidP="00B33A6F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55677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2604E" w:rsidRPr="00556776" w:rsidRDefault="00E2604E" w:rsidP="00B33A6F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6776">
        <w:rPr>
          <w:rFonts w:ascii="PT Astra Serif" w:hAnsi="PT Astra Serif"/>
          <w:color w:val="000000" w:themeColor="text1"/>
          <w:sz w:val="28"/>
          <w:szCs w:val="28"/>
        </w:rPr>
        <w:lastRenderedPageBreak/>
        <w:t>3</w:t>
      </w:r>
      <w:r w:rsidRPr="00556776">
        <w:rPr>
          <w:rFonts w:ascii="PT Astra Serif" w:hAnsi="PT Astra Serif"/>
          <w:color w:val="000000" w:themeColor="text1"/>
          <w:sz w:val="28"/>
          <w:szCs w:val="28"/>
          <w:lang w:val="x-none"/>
        </w:rPr>
        <w:t>. Настоящее постановление вступает в силу после его официального опубликования</w:t>
      </w:r>
      <w:r w:rsidRPr="0055677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33A6F" w:rsidRPr="00556776" w:rsidRDefault="00B33A6F" w:rsidP="00B33A6F">
      <w:pP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B33A6F" w:rsidRPr="00556776" w:rsidRDefault="00B33A6F" w:rsidP="00B33A6F">
      <w:pPr>
        <w:suppressAutoHyphens w:val="0"/>
        <w:spacing w:line="276" w:lineRule="auto"/>
        <w:rPr>
          <w:rFonts w:ascii="PT Astra Serif" w:hAnsi="PT Astra Serif"/>
          <w:color w:val="000000" w:themeColor="text1"/>
          <w:sz w:val="28"/>
          <w:lang w:eastAsia="en-US"/>
        </w:rPr>
      </w:pPr>
    </w:p>
    <w:p w:rsidR="00B33A6F" w:rsidRPr="00556776" w:rsidRDefault="00B33A6F" w:rsidP="00B33A6F">
      <w:pPr>
        <w:suppressAutoHyphens w:val="0"/>
        <w:spacing w:line="276" w:lineRule="auto"/>
        <w:rPr>
          <w:rFonts w:ascii="PT Astra Serif" w:eastAsia="Calibri" w:hAnsi="PT Astra Serif"/>
          <w:b/>
          <w:color w:val="000000" w:themeColor="text1"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B33A6F" w:rsidRPr="00556776" w:rsidTr="006F44C5">
        <w:trPr>
          <w:trHeight w:val="1443"/>
        </w:trPr>
        <w:tc>
          <w:tcPr>
            <w:tcW w:w="1902" w:type="pct"/>
          </w:tcPr>
          <w:p w:rsidR="00B33A6F" w:rsidRPr="00556776" w:rsidRDefault="00B33A6F" w:rsidP="00B33A6F">
            <w:pPr>
              <w:suppressAutoHyphens w:val="0"/>
              <w:rPr>
                <w:rFonts w:ascii="PT Astra Serif" w:hAnsi="PT Astra Serif"/>
                <w:b/>
                <w:color w:val="000000" w:themeColor="text1"/>
                <w:szCs w:val="26"/>
                <w:lang w:eastAsia="ru-RU"/>
              </w:rPr>
            </w:pPr>
            <w:r w:rsidRPr="00556776">
              <w:rPr>
                <w:rFonts w:ascii="PT Astra Serif" w:hAnsi="PT Astra Serif"/>
                <w:b/>
                <w:color w:val="000000" w:themeColor="text1"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B33A6F" w:rsidRPr="00556776" w:rsidRDefault="00B33A6F" w:rsidP="00B33A6F">
            <w:pPr>
              <w:suppressAutoHyphens w:val="0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B33A6F" w:rsidRPr="00556776" w:rsidRDefault="00B33A6F" w:rsidP="00B33A6F">
            <w:pPr>
              <w:suppressAutoHyphens w:val="0"/>
              <w:jc w:val="right"/>
              <w:rPr>
                <w:rFonts w:ascii="PT Astra Serif" w:hAnsi="PT Astra Serif"/>
                <w:b/>
                <w:color w:val="000000" w:themeColor="text1"/>
                <w:szCs w:val="26"/>
                <w:lang w:eastAsia="ru-RU"/>
              </w:rPr>
            </w:pPr>
            <w:r w:rsidRPr="00556776">
              <w:rPr>
                <w:rFonts w:ascii="PT Astra Serif" w:hAnsi="PT Astra Serif"/>
                <w:b/>
                <w:color w:val="000000" w:themeColor="text1"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D19FD" w:rsidRPr="00556776" w:rsidRDefault="00DD19FD" w:rsidP="00B33A6F">
      <w:pPr>
        <w:rPr>
          <w:rFonts w:ascii="PT Astra Serif" w:hAnsi="PT Astra Serif"/>
          <w:color w:val="000000" w:themeColor="text1"/>
          <w:sz w:val="28"/>
          <w:szCs w:val="26"/>
        </w:rPr>
      </w:pPr>
    </w:p>
    <w:sectPr w:rsidR="00DD19FD" w:rsidRPr="00556776" w:rsidSect="00731F29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97" w:rsidRDefault="00DC1C97" w:rsidP="003C5141">
      <w:r>
        <w:separator/>
      </w:r>
    </w:p>
  </w:endnote>
  <w:endnote w:type="continuationSeparator" w:id="0">
    <w:p w:rsidR="00DC1C97" w:rsidRDefault="00DC1C9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97" w:rsidRDefault="00DC1C97" w:rsidP="003C5141">
      <w:r>
        <w:separator/>
      </w:r>
    </w:p>
  </w:footnote>
  <w:footnote w:type="continuationSeparator" w:id="0">
    <w:p w:rsidR="00DC1C97" w:rsidRDefault="00DC1C9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47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33A6F" w:rsidRPr="00B33A6F" w:rsidRDefault="00B33A6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33A6F">
          <w:rPr>
            <w:rFonts w:ascii="PT Astra Serif" w:hAnsi="PT Astra Serif"/>
            <w:sz w:val="22"/>
            <w:szCs w:val="22"/>
          </w:rPr>
          <w:fldChar w:fldCharType="begin"/>
        </w:r>
        <w:r w:rsidRPr="00B33A6F">
          <w:rPr>
            <w:rFonts w:ascii="PT Astra Serif" w:hAnsi="PT Astra Serif"/>
            <w:sz w:val="22"/>
            <w:szCs w:val="22"/>
          </w:rPr>
          <w:instrText>PAGE   \* MERGEFORMAT</w:instrText>
        </w:r>
        <w:r w:rsidRPr="00B33A6F">
          <w:rPr>
            <w:rFonts w:ascii="PT Astra Serif" w:hAnsi="PT Astra Serif"/>
            <w:sz w:val="22"/>
            <w:szCs w:val="22"/>
          </w:rPr>
          <w:fldChar w:fldCharType="separate"/>
        </w:r>
        <w:r w:rsidR="00AD57D0">
          <w:rPr>
            <w:rFonts w:ascii="PT Astra Serif" w:hAnsi="PT Astra Serif"/>
            <w:noProof/>
            <w:sz w:val="22"/>
            <w:szCs w:val="22"/>
          </w:rPr>
          <w:t>3</w:t>
        </w:r>
        <w:r w:rsidRPr="00B33A6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69CB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510B"/>
    <w:rsid w:val="0021641A"/>
    <w:rsid w:val="00222AEC"/>
    <w:rsid w:val="00224E69"/>
    <w:rsid w:val="0023392D"/>
    <w:rsid w:val="00255FF6"/>
    <w:rsid w:val="00256A87"/>
    <w:rsid w:val="00271EA8"/>
    <w:rsid w:val="00285C61"/>
    <w:rsid w:val="00296E8C"/>
    <w:rsid w:val="002B44C9"/>
    <w:rsid w:val="002F5129"/>
    <w:rsid w:val="003642AD"/>
    <w:rsid w:val="00367593"/>
    <w:rsid w:val="0037056B"/>
    <w:rsid w:val="003C5141"/>
    <w:rsid w:val="003D688F"/>
    <w:rsid w:val="00423003"/>
    <w:rsid w:val="00462C35"/>
    <w:rsid w:val="004B0DBB"/>
    <w:rsid w:val="004C6A75"/>
    <w:rsid w:val="00510950"/>
    <w:rsid w:val="0053339B"/>
    <w:rsid w:val="005371D9"/>
    <w:rsid w:val="00556776"/>
    <w:rsid w:val="00573454"/>
    <w:rsid w:val="00576EF8"/>
    <w:rsid w:val="005F550C"/>
    <w:rsid w:val="00615CE0"/>
    <w:rsid w:val="00624190"/>
    <w:rsid w:val="00647165"/>
    <w:rsid w:val="00647CBE"/>
    <w:rsid w:val="0065328E"/>
    <w:rsid w:val="006B3FA0"/>
    <w:rsid w:val="006F6444"/>
    <w:rsid w:val="00713C1C"/>
    <w:rsid w:val="007268A4"/>
    <w:rsid w:val="00731F29"/>
    <w:rsid w:val="00750AD5"/>
    <w:rsid w:val="007D5A8E"/>
    <w:rsid w:val="007E29A5"/>
    <w:rsid w:val="007F2D92"/>
    <w:rsid w:val="007F4A15"/>
    <w:rsid w:val="007F525B"/>
    <w:rsid w:val="00820810"/>
    <w:rsid w:val="008267F4"/>
    <w:rsid w:val="008478F4"/>
    <w:rsid w:val="00865C55"/>
    <w:rsid w:val="00886003"/>
    <w:rsid w:val="008C407D"/>
    <w:rsid w:val="008F0C2C"/>
    <w:rsid w:val="00906884"/>
    <w:rsid w:val="00914417"/>
    <w:rsid w:val="0092685C"/>
    <w:rsid w:val="00953E9C"/>
    <w:rsid w:val="0097026B"/>
    <w:rsid w:val="00980B76"/>
    <w:rsid w:val="009A5E41"/>
    <w:rsid w:val="009C4E86"/>
    <w:rsid w:val="009D583A"/>
    <w:rsid w:val="009F7184"/>
    <w:rsid w:val="00A33E61"/>
    <w:rsid w:val="00A44F85"/>
    <w:rsid w:val="00A46FA3"/>
    <w:rsid w:val="00A471A4"/>
    <w:rsid w:val="00A51595"/>
    <w:rsid w:val="00A80D6A"/>
    <w:rsid w:val="00AB09E1"/>
    <w:rsid w:val="00AD29B5"/>
    <w:rsid w:val="00AD57D0"/>
    <w:rsid w:val="00AD77E7"/>
    <w:rsid w:val="00AF75FC"/>
    <w:rsid w:val="00B14AF7"/>
    <w:rsid w:val="00B33A6F"/>
    <w:rsid w:val="00B36297"/>
    <w:rsid w:val="00B36B2A"/>
    <w:rsid w:val="00B753EC"/>
    <w:rsid w:val="00B91EF8"/>
    <w:rsid w:val="00BB578A"/>
    <w:rsid w:val="00BB6502"/>
    <w:rsid w:val="00BD7EE5"/>
    <w:rsid w:val="00BE1CAB"/>
    <w:rsid w:val="00C26832"/>
    <w:rsid w:val="00CE2A5A"/>
    <w:rsid w:val="00D01A38"/>
    <w:rsid w:val="00D1203B"/>
    <w:rsid w:val="00D3103C"/>
    <w:rsid w:val="00D6114D"/>
    <w:rsid w:val="00D6571C"/>
    <w:rsid w:val="00D97ACC"/>
    <w:rsid w:val="00DC1C97"/>
    <w:rsid w:val="00DD19FD"/>
    <w:rsid w:val="00DD3187"/>
    <w:rsid w:val="00E2604E"/>
    <w:rsid w:val="00E864FB"/>
    <w:rsid w:val="00E91200"/>
    <w:rsid w:val="00E941A7"/>
    <w:rsid w:val="00E96878"/>
    <w:rsid w:val="00EB09F0"/>
    <w:rsid w:val="00EC794D"/>
    <w:rsid w:val="00ED117A"/>
    <w:rsid w:val="00EF19B1"/>
    <w:rsid w:val="00F13662"/>
    <w:rsid w:val="00F211A8"/>
    <w:rsid w:val="00F33869"/>
    <w:rsid w:val="00F52A75"/>
    <w:rsid w:val="00F61B20"/>
    <w:rsid w:val="00F639D4"/>
    <w:rsid w:val="00F6410F"/>
    <w:rsid w:val="00F67E37"/>
    <w:rsid w:val="00F930E6"/>
    <w:rsid w:val="00FA2C75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0810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1"/>
    <w:basedOn w:val="a1"/>
    <w:next w:val="ac"/>
    <w:uiPriority w:val="59"/>
    <w:rsid w:val="00B33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B33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0810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1"/>
    <w:basedOn w:val="a1"/>
    <w:next w:val="ac"/>
    <w:uiPriority w:val="59"/>
    <w:rsid w:val="00B33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B33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9661-7B43-410C-AEE9-3BCAEEB7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675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</cp:revision>
  <cp:lastPrinted>2023-10-09T11:47:00Z</cp:lastPrinted>
  <dcterms:created xsi:type="dcterms:W3CDTF">2023-10-10T04:07:00Z</dcterms:created>
  <dcterms:modified xsi:type="dcterms:W3CDTF">2023-10-12T05:09:00Z</dcterms:modified>
</cp:coreProperties>
</file>