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EC" w:rsidRPr="00272DEC" w:rsidRDefault="00272DEC" w:rsidP="00272DEC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0" t="0" r="23495" b="2413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72D" w:rsidRDefault="004B372D" w:rsidP="00181218">
                            <w:pPr>
                              <w:spacing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В регистр</w:t>
                            </w:r>
                          </w:p>
                          <w:p w:rsidR="004B372D" w:rsidRPr="00272DEC" w:rsidRDefault="004B372D" w:rsidP="00181218">
                            <w:pPr>
                              <w:spacing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4B372D" w:rsidRPr="00F04FAA" w:rsidRDefault="004B372D" w:rsidP="00272DEC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303.25pt;margin-top:.3pt;width:200.65pt;height:58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" strokecolor="white" strokeweight=".5pt">
                <v:textbox inset="7.45pt,3.85pt,7.45pt,3.85pt">
                  <w:txbxContent>
                    <w:p w:rsidR="004B372D" w:rsidRDefault="004B372D" w:rsidP="00181218">
                      <w:pPr>
                        <w:spacing w:line="240" w:lineRule="auto"/>
                        <w:jc w:val="right"/>
                        <w:rPr>
                          <w:rFonts w:ascii="Times New Roman" w:eastAsia="Calibri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noProof/>
                          <w:sz w:val="24"/>
                          <w:szCs w:val="24"/>
                        </w:rPr>
                        <w:t>В регистр</w:t>
                      </w:r>
                    </w:p>
                    <w:p w:rsidR="004B372D" w:rsidRPr="00272DEC" w:rsidRDefault="004B372D" w:rsidP="00181218">
                      <w:pPr>
                        <w:spacing w:line="240" w:lineRule="auto"/>
                        <w:jc w:val="right"/>
                        <w:rPr>
                          <w:rFonts w:ascii="Times New Roman" w:eastAsia="Calibri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noProof/>
                          <w:sz w:val="24"/>
                          <w:szCs w:val="24"/>
                        </w:rPr>
                        <w:t>Проект</w:t>
                      </w:r>
                    </w:p>
                    <w:p w:rsidR="004B372D" w:rsidRPr="00F04FAA" w:rsidRDefault="004B372D" w:rsidP="00272DEC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2DE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FE5EE1" wp14:editId="528AE043">
            <wp:extent cx="590550" cy="7524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EC" w:rsidRPr="00272DEC" w:rsidRDefault="00272DEC" w:rsidP="00272DEC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Cs/>
          <w:iCs/>
          <w:spacing w:val="20"/>
          <w:sz w:val="32"/>
          <w:szCs w:val="32"/>
        </w:rPr>
      </w:pPr>
      <w:r w:rsidRPr="00272DEC">
        <w:rPr>
          <w:rFonts w:ascii="Times New Roman" w:eastAsia="Calibri" w:hAnsi="Times New Roman" w:cs="Times New Roman"/>
          <w:bCs/>
          <w:iCs/>
          <w:spacing w:val="20"/>
          <w:sz w:val="32"/>
          <w:szCs w:val="32"/>
        </w:rPr>
        <w:t>АДМИНИСТРАЦИЯ ГОРОДА ЮГОРСКА</w:t>
      </w:r>
    </w:p>
    <w:p w:rsidR="00272DEC" w:rsidRPr="00272DEC" w:rsidRDefault="00272DEC" w:rsidP="00272DE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272DEC">
        <w:rPr>
          <w:rFonts w:ascii="Times New Roman" w:eastAsia="Calibri" w:hAnsi="Times New Roman" w:cs="Times New Roman"/>
          <w:bCs/>
          <w:kern w:val="32"/>
          <w:sz w:val="28"/>
          <w:szCs w:val="28"/>
        </w:rPr>
        <w:t>Ханты-Мансийского автономного округа – Югры</w:t>
      </w:r>
    </w:p>
    <w:p w:rsidR="00272DEC" w:rsidRPr="00272DEC" w:rsidRDefault="00272DEC" w:rsidP="00272D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2DEC" w:rsidRPr="00272DEC" w:rsidRDefault="00272DEC" w:rsidP="00272DEC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Cs/>
          <w:sz w:val="36"/>
          <w:szCs w:val="36"/>
        </w:rPr>
      </w:pPr>
      <w:r w:rsidRPr="00272DEC">
        <w:rPr>
          <w:rFonts w:ascii="Times New Roman" w:eastAsia="Calibri" w:hAnsi="Times New Roman" w:cs="Times New Roman"/>
          <w:bCs/>
          <w:sz w:val="36"/>
          <w:szCs w:val="36"/>
        </w:rPr>
        <w:t>ПОСТАНОВЛЕНИЕ</w:t>
      </w:r>
    </w:p>
    <w:p w:rsidR="00272DEC" w:rsidRPr="00272DEC" w:rsidRDefault="00272DEC" w:rsidP="00272D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2DEC" w:rsidRPr="00272DEC" w:rsidRDefault="00272DEC" w:rsidP="00272D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2DEC" w:rsidRPr="00272DEC" w:rsidRDefault="00272DEC" w:rsidP="00272D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2DEC" w:rsidRPr="00272DEC" w:rsidRDefault="00272DEC" w:rsidP="00272D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от __________</w:t>
      </w:r>
      <w:r w:rsidRPr="00272DE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№ ______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программе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proofErr w:type="spellStart"/>
      <w:r w:rsidRPr="00272DEC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sz w:val="24"/>
          <w:szCs w:val="24"/>
        </w:rPr>
        <w:t xml:space="preserve"> «Развитие образования»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DEC" w:rsidRPr="00272DEC" w:rsidRDefault="00272DEC" w:rsidP="00272D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Федеральным законом Российской Федерации от 28.06.2014 №172-ФЗ «О стратегическом планировании в Российской Федерации»,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постановлением</w:t>
      </w:r>
      <w:proofErr w:type="gramEnd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</w:t>
      </w:r>
      <w:proofErr w:type="spellStart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77FC2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2018 № </w:t>
      </w:r>
      <w:r w:rsidR="0077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2876 </w:t>
      </w:r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модельной муниципальной программе города </w:t>
      </w:r>
      <w:proofErr w:type="spellStart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порядке принятия решения о разработке муниципальных программ города </w:t>
      </w:r>
      <w:proofErr w:type="spellStart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формирования, утверждения и реализации в </w:t>
      </w:r>
      <w:r w:rsidRPr="0027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национальными целями развития</w:t>
      </w:r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77FC2" w:rsidRPr="0077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администрации города </w:t>
      </w:r>
      <w:proofErr w:type="spellStart"/>
      <w:r w:rsidR="00777FC2" w:rsidRPr="00777FC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777FC2" w:rsidRPr="0077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77FC2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17.10.2018</w:t>
      </w:r>
      <w:r w:rsidR="00777FC2" w:rsidRPr="0077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77FC2">
        <w:rPr>
          <w:rFonts w:ascii="Times New Roman" w:eastAsia="Times New Roman" w:hAnsi="Times New Roman" w:cs="Times New Roman"/>
          <w:sz w:val="24"/>
          <w:szCs w:val="24"/>
          <w:lang w:eastAsia="ru-RU"/>
        </w:rPr>
        <w:t>531</w:t>
      </w:r>
      <w:r w:rsidR="00777FC2" w:rsidRPr="0077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перечне муниципальных программ города </w:t>
      </w:r>
      <w:proofErr w:type="spellStart"/>
      <w:r w:rsidR="00777FC2" w:rsidRPr="00777FC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gramStart"/>
      <w:r w:rsidR="00777FC2" w:rsidRPr="00777F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совершенствования структуры муниципальных программ города </w:t>
      </w:r>
      <w:proofErr w:type="spellStart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2DEC" w:rsidRPr="00272DEC" w:rsidRDefault="00272DEC" w:rsidP="00272DEC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1.Утвердить муниципальную программу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образования» (приложение).</w:t>
      </w:r>
    </w:p>
    <w:p w:rsidR="00272DEC" w:rsidRPr="00272DEC" w:rsidRDefault="00272DEC" w:rsidP="00AF241F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2.Определить Управление образования администрации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ответственным исполнителем муниципальной программы.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3.Признать утратившими силу постановления администрации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-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- от 03.03.2014 № 767 «О внесении изменений постановление администрации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10.04.2014 № 1480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272DEC">
        <w:rPr>
          <w:rFonts w:ascii="Times New Roman" w:eastAsia="Calibri" w:hAnsi="Times New Roman" w:cs="Times New Roman"/>
          <w:sz w:val="24"/>
          <w:szCs w:val="24"/>
        </w:rPr>
        <w:t xml:space="preserve"> от 22.05.2014  № 2244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22.07.2014 № 3663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, от 06.08.2014 № 3996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09.10.2014 № 5235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17.11.2014 № 6229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lastRenderedPageBreak/>
        <w:t>- от 04.12.2014 № 6699«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23.12.2014 № 7244«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30.12.2014 № 7413«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31.12.2014 № 7433«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29.04.2015 № 1942«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от26.05.2015 № 2131«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28.08.2015 № 2903«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25.11.2015 № 3423«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21.12.2015 № 3717«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24.12.2015 № 3755«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 20.02.2016 № 407«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17.03.2016 № 579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16.05.2016 № 1019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30.06.2016 № 1537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города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- от 13.09.2016 № 2225 </w:t>
      </w:r>
      <w:r w:rsidRPr="00272DEC">
        <w:rPr>
          <w:rFonts w:ascii="Times New Roman" w:eastAsia="Calibri" w:hAnsi="Times New Roman" w:cs="Times New Roman"/>
          <w:sz w:val="24"/>
          <w:szCs w:val="24"/>
        </w:rPr>
        <w:t>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24.11.2016 № 2955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22.12.2016 № 3302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12.04.2017 № 831«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02.05.2017 № 964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11.07.2017 № 1673«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19.12.2017 № 3211«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19.12.2017 № 3212«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28.12.2017 № 3347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01.03.2018 № 599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05.04.2018 № 978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- от 19.04.2018 № 1088 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годы»;</w:t>
      </w:r>
    </w:p>
    <w:p w:rsidR="00272DEC" w:rsidRPr="00272DEC" w:rsidRDefault="00272DEC" w:rsidP="00272DEC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 xml:space="preserve"> - от 24.09.2018 № 2612</w:t>
      </w:r>
      <w:r w:rsidRPr="00272DEC">
        <w:rPr>
          <w:rFonts w:ascii="Times New Roman" w:eastAsia="Calibri" w:hAnsi="Times New Roman" w:cs="Times New Roman"/>
        </w:rPr>
        <w:t xml:space="preserve"> </w:t>
      </w:r>
      <w:r w:rsidRPr="00272DEC">
        <w:rPr>
          <w:rFonts w:ascii="Times New Roman" w:eastAsia="Calibri" w:hAnsi="Times New Roman" w:cs="Times New Roman"/>
          <w:sz w:val="24"/>
          <w:szCs w:val="24"/>
        </w:rPr>
        <w:t>«</w:t>
      </w: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постановление администрации </w:t>
      </w: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от 31.10.2013 № 3286 «О муниципальной программе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«Развитие образования города </w:t>
      </w:r>
      <w:proofErr w:type="spellStart"/>
      <w:r w:rsidRPr="00272DEC">
        <w:rPr>
          <w:rFonts w:ascii="Times New Roman" w:eastAsia="Calibri" w:hAnsi="Times New Roman" w:cs="Times New Roman"/>
          <w:bCs/>
          <w:sz w:val="24"/>
          <w:szCs w:val="24"/>
        </w:rPr>
        <w:t>Югорска</w:t>
      </w:r>
      <w:proofErr w:type="spellEnd"/>
      <w:r w:rsidRPr="00272DEC">
        <w:rPr>
          <w:rFonts w:ascii="Times New Roman" w:eastAsia="Calibri" w:hAnsi="Times New Roman" w:cs="Times New Roman"/>
          <w:bCs/>
          <w:sz w:val="24"/>
          <w:szCs w:val="24"/>
        </w:rPr>
        <w:t xml:space="preserve"> на 2014-2020 годы»</w:t>
      </w:r>
    </w:p>
    <w:p w:rsidR="00272DEC" w:rsidRPr="00272DEC" w:rsidRDefault="00272DEC" w:rsidP="00272DEC">
      <w:pPr>
        <w:tabs>
          <w:tab w:val="left" w:pos="993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Опубликовать постановление в официальном печатном издании города </w:t>
      </w:r>
      <w:proofErr w:type="spellStart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272DEC" w:rsidRPr="00272DEC" w:rsidRDefault="00272DEC" w:rsidP="00272DE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 официальном сайте органов местного самоуправления города </w:t>
      </w:r>
      <w:proofErr w:type="spellStart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AF241F" w:rsidRPr="00AF241F">
        <w:t xml:space="preserve"> </w:t>
      </w:r>
      <w:proofErr w:type="spellStart"/>
      <w:proofErr w:type="gramStart"/>
      <w:r w:rsidR="00AF241F" w:rsidRPr="00AF241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proofErr w:type="gramEnd"/>
      <w:r w:rsidR="00AF241F" w:rsidRPr="00AF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ГАС «Управление».</w:t>
      </w:r>
    </w:p>
    <w:p w:rsidR="00272DEC" w:rsidRPr="00272DEC" w:rsidRDefault="00272DEC" w:rsidP="00AF241F">
      <w:pPr>
        <w:tabs>
          <w:tab w:val="left" w:pos="993"/>
        </w:tabs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после его официального опубликования,  но не ранее 01.01.2019.</w:t>
      </w:r>
    </w:p>
    <w:p w:rsidR="00272DEC" w:rsidRPr="00272DEC" w:rsidRDefault="00272DEC" w:rsidP="00272DEC">
      <w:pPr>
        <w:tabs>
          <w:tab w:val="left" w:pos="993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города </w:t>
      </w:r>
    </w:p>
    <w:p w:rsidR="00272DEC" w:rsidRPr="00272DEC" w:rsidRDefault="00272DEC" w:rsidP="00272DE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</w:t>
      </w:r>
      <w:proofErr w:type="spellStart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Долгодворову</w:t>
      </w:r>
      <w:proofErr w:type="spellEnd"/>
      <w:r w:rsidRPr="00272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DEC" w:rsidRPr="00272DEC" w:rsidRDefault="00272DEC" w:rsidP="00272D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DEC" w:rsidRPr="00272DEC" w:rsidRDefault="00272DEC" w:rsidP="00272D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DEC" w:rsidRPr="00272DEC" w:rsidRDefault="00272DEC" w:rsidP="00272D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DEC" w:rsidRPr="00272DEC" w:rsidRDefault="00272DEC" w:rsidP="00272D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DEC" w:rsidRPr="00272DEC" w:rsidRDefault="00272DEC" w:rsidP="00272DE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2DEC" w:rsidRPr="00272DEC" w:rsidRDefault="00272DEC" w:rsidP="00272D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2DEC" w:rsidRPr="00272DEC" w:rsidRDefault="00272DEC" w:rsidP="00272DEC">
      <w:pPr>
        <w:spacing w:after="0" w:line="240" w:lineRule="auto"/>
        <w:rPr>
          <w:rFonts w:ascii="Calibri" w:eastAsia="Calibri" w:hAnsi="Calibri" w:cs="Times New Roman"/>
          <w:bCs/>
          <w:color w:val="26282F"/>
          <w:sz w:val="26"/>
        </w:rPr>
      </w:pPr>
      <w:r w:rsidRPr="00272DEC">
        <w:rPr>
          <w:rFonts w:ascii="Times New Roman" w:eastAsia="Calibri" w:hAnsi="Times New Roman" w:cs="Times New Roman"/>
          <w:b/>
          <w:sz w:val="24"/>
          <w:szCs w:val="24"/>
        </w:rPr>
        <w:t>Глава города                                                                                                             А.В. Бородкин</w:t>
      </w:r>
    </w:p>
    <w:p w:rsidR="00181218" w:rsidRDefault="00181218" w:rsidP="00272D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81218" w:rsidRDefault="00181218" w:rsidP="00272D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C045B" w:rsidRDefault="00EC045B" w:rsidP="00EC04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EC045B" w:rsidRDefault="00EC045B" w:rsidP="00EC04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EC045B" w:rsidRDefault="00EC045B" w:rsidP="00EC04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</w:p>
    <w:p w:rsidR="00EC045B" w:rsidRDefault="00EC045B" w:rsidP="00EC04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от__________ № ________</w:t>
      </w:r>
    </w:p>
    <w:p w:rsidR="00EC045B" w:rsidRDefault="00EC045B" w:rsidP="00EC04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045B" w:rsidRDefault="00EC045B" w:rsidP="00EC04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города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«Развитие образования»</w:t>
      </w:r>
    </w:p>
    <w:p w:rsidR="00EC045B" w:rsidRDefault="00AF241F" w:rsidP="00272D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– муниципальная программа)</w:t>
      </w:r>
    </w:p>
    <w:p w:rsidR="00272DEC" w:rsidRPr="00272DEC" w:rsidRDefault="00272DEC" w:rsidP="00272D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t>Паспорт</w:t>
      </w:r>
    </w:p>
    <w:p w:rsidR="00272DEC" w:rsidRPr="00272DEC" w:rsidRDefault="00FE0B01" w:rsidP="00272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  <w:r w:rsidR="007557CD" w:rsidRPr="007557CD">
        <w:t xml:space="preserve"> </w:t>
      </w:r>
      <w:r w:rsidR="007557CD" w:rsidRPr="007557CD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proofErr w:type="spellStart"/>
      <w:r w:rsidR="007557CD" w:rsidRPr="007557CD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7026"/>
      </w:tblGrid>
      <w:tr w:rsidR="00272DEC" w:rsidRPr="00272DEC" w:rsidTr="008F30FD">
        <w:tc>
          <w:tcPr>
            <w:tcW w:w="3323" w:type="dxa"/>
            <w:vAlign w:val="center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26" w:type="dxa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образования </w:t>
            </w:r>
          </w:p>
        </w:tc>
      </w:tr>
      <w:tr w:rsidR="00272DEC" w:rsidRPr="00272DEC" w:rsidTr="008F30FD">
        <w:tc>
          <w:tcPr>
            <w:tcW w:w="3323" w:type="dxa"/>
            <w:vAlign w:val="center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</w:t>
            </w:r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 номер</w:t>
            </w:r>
            <w:proofErr w:type="gramEnd"/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правового акта) </w:t>
            </w:r>
            <w:hyperlink r:id="rId8" w:anchor="Par250" w:history="1">
              <w:r w:rsidRPr="00272D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  <w:r w:rsidRPr="00272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6" w:type="dxa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hAnsi="Times New Roman"/>
                <w:sz w:val="24"/>
              </w:rPr>
              <w:t xml:space="preserve">Постановление администрации города </w:t>
            </w:r>
            <w:proofErr w:type="spellStart"/>
            <w:r w:rsidRPr="00272DEC">
              <w:rPr>
                <w:rFonts w:ascii="Times New Roman" w:hAnsi="Times New Roman"/>
                <w:sz w:val="24"/>
              </w:rPr>
              <w:t>Югорска</w:t>
            </w:r>
            <w:proofErr w:type="spellEnd"/>
            <w:r w:rsidRPr="00272DEC">
              <w:rPr>
                <w:rFonts w:ascii="Times New Roman" w:hAnsi="Times New Roman"/>
                <w:sz w:val="24"/>
              </w:rPr>
              <w:t xml:space="preserve"> от  .10.2018 №    «О муниципальной программе города </w:t>
            </w:r>
            <w:proofErr w:type="spellStart"/>
            <w:r w:rsidRPr="00272DEC">
              <w:rPr>
                <w:rFonts w:ascii="Times New Roman" w:hAnsi="Times New Roman"/>
                <w:sz w:val="24"/>
              </w:rPr>
              <w:t>Югорска</w:t>
            </w:r>
            <w:proofErr w:type="spellEnd"/>
            <w:r w:rsidRPr="00272DEC">
              <w:rPr>
                <w:rFonts w:ascii="Times New Roman" w:hAnsi="Times New Roman"/>
                <w:sz w:val="24"/>
              </w:rPr>
              <w:t xml:space="preserve"> «Развитие образования»</w:t>
            </w:r>
          </w:p>
        </w:tc>
      </w:tr>
      <w:tr w:rsidR="00272DEC" w:rsidRPr="00272DEC" w:rsidTr="008F30FD">
        <w:tc>
          <w:tcPr>
            <w:tcW w:w="3323" w:type="dxa"/>
            <w:vAlign w:val="center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26" w:type="dxa"/>
          </w:tcPr>
          <w:p w:rsidR="00272DEC" w:rsidRPr="00272DEC" w:rsidRDefault="00272DEC" w:rsidP="00272DEC">
            <w:pPr>
              <w:widowControl w:val="0"/>
              <w:tabs>
                <w:tab w:val="left" w:pos="9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города </w:t>
            </w:r>
            <w:proofErr w:type="spellStart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</w:tr>
      <w:tr w:rsidR="00272DEC" w:rsidRPr="00272DEC" w:rsidTr="008F30FD">
        <w:tc>
          <w:tcPr>
            <w:tcW w:w="3323" w:type="dxa"/>
            <w:vAlign w:val="center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26" w:type="dxa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города </w:t>
            </w:r>
            <w:proofErr w:type="spellStart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политики администрации города </w:t>
            </w:r>
            <w:proofErr w:type="spellStart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</w:tr>
      <w:tr w:rsidR="00272DEC" w:rsidRPr="00272DEC" w:rsidTr="008F30FD">
        <w:tc>
          <w:tcPr>
            <w:tcW w:w="3323" w:type="dxa"/>
            <w:vAlign w:val="center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026" w:type="dxa"/>
          </w:tcPr>
          <w:p w:rsidR="00272DEC" w:rsidRPr="00272DEC" w:rsidRDefault="00272DEC" w:rsidP="003C77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</w:t>
            </w:r>
            <w:r w:rsidR="003C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="003C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</w:t>
            </w:r>
            <w:proofErr w:type="spellEnd"/>
            <w:r w:rsidR="003C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DEC" w:rsidRPr="00272DEC" w:rsidTr="008F30FD">
        <w:tc>
          <w:tcPr>
            <w:tcW w:w="3323" w:type="dxa"/>
            <w:vAlign w:val="center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26" w:type="dxa"/>
          </w:tcPr>
          <w:p w:rsidR="00272DEC" w:rsidRPr="00272DEC" w:rsidRDefault="00272DEC" w:rsidP="00272DEC">
            <w:pPr>
              <w:autoSpaceDE w:val="0"/>
              <w:autoSpaceDN w:val="0"/>
              <w:spacing w:after="0" w:line="240" w:lineRule="auto"/>
              <w:ind w:firstLine="2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DEC">
              <w:rPr>
                <w:rFonts w:ascii="Times New Roman" w:eastAsia="Calibri" w:hAnsi="Times New Roman" w:cs="Times New Roman"/>
                <w:sz w:val="24"/>
                <w:szCs w:val="24"/>
              </w:rPr>
              <w:t>1. Модернизация системы дошкольного, общего и дополнительного образования детей.</w:t>
            </w:r>
          </w:p>
          <w:p w:rsidR="00272DEC" w:rsidRPr="00272DEC" w:rsidRDefault="00272DEC" w:rsidP="00272DEC">
            <w:pPr>
              <w:autoSpaceDE w:val="0"/>
              <w:autoSpaceDN w:val="0"/>
              <w:spacing w:after="0" w:line="240" w:lineRule="auto"/>
              <w:ind w:firstLine="2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DEC">
              <w:rPr>
                <w:rFonts w:ascii="Times New Roman" w:eastAsia="Calibri" w:hAnsi="Times New Roman" w:cs="Times New Roman"/>
                <w:sz w:val="24"/>
                <w:szCs w:val="24"/>
              </w:rPr>
              <w:t>2.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  <w:p w:rsidR="00272DEC" w:rsidRPr="00272DEC" w:rsidRDefault="00905D3F" w:rsidP="00905D3F">
            <w:pPr>
              <w:autoSpaceDE w:val="0"/>
              <w:autoSpaceDN w:val="0"/>
              <w:spacing w:after="0" w:line="240" w:lineRule="auto"/>
              <w:ind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72DEC" w:rsidRPr="00272DEC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инфраструктуры и организационно-</w:t>
            </w:r>
            <w:proofErr w:type="gramStart"/>
            <w:r w:rsidR="00272DEC" w:rsidRPr="00272DE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="00272DEC" w:rsidRPr="00272DEC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обеспечивающих равную доступность услуг дошкольного, общего и дополнительного образования детей</w:t>
            </w:r>
          </w:p>
        </w:tc>
      </w:tr>
      <w:tr w:rsidR="00272DEC" w:rsidRPr="00272DEC" w:rsidTr="008F30FD">
        <w:tc>
          <w:tcPr>
            <w:tcW w:w="3323" w:type="dxa"/>
            <w:vAlign w:val="center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 и (или)  основные мероприятия</w:t>
            </w:r>
          </w:p>
        </w:tc>
        <w:tc>
          <w:tcPr>
            <w:tcW w:w="7026" w:type="dxa"/>
          </w:tcPr>
          <w:p w:rsidR="00272DEC" w:rsidRPr="00272DEC" w:rsidRDefault="00FE0B01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2DEC" w:rsidRPr="00272DEC" w:rsidTr="008F30FD">
        <w:tc>
          <w:tcPr>
            <w:tcW w:w="3323" w:type="dxa"/>
            <w:vAlign w:val="center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портфеля проектов, проекта, </w:t>
            </w:r>
            <w:proofErr w:type="gramStart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реализацию в городе </w:t>
            </w:r>
            <w:proofErr w:type="spellStart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Югорске</w:t>
            </w:r>
            <w:proofErr w:type="spellEnd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национальных проектов (программ) Российской Федерации</w:t>
            </w:r>
          </w:p>
        </w:tc>
        <w:tc>
          <w:tcPr>
            <w:tcW w:w="7026" w:type="dxa"/>
          </w:tcPr>
          <w:p w:rsidR="00FE0B01" w:rsidRPr="00FE0B01" w:rsidRDefault="00FE0B01" w:rsidP="00FE0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Образование»</w:t>
            </w:r>
          </w:p>
          <w:p w:rsidR="00272DEC" w:rsidRPr="00272DEC" w:rsidRDefault="00FE0B01" w:rsidP="00FE0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«Демография»</w:t>
            </w:r>
          </w:p>
        </w:tc>
      </w:tr>
      <w:tr w:rsidR="00272DEC" w:rsidRPr="00272DEC" w:rsidTr="008F30FD">
        <w:tc>
          <w:tcPr>
            <w:tcW w:w="3323" w:type="dxa"/>
            <w:vAlign w:val="center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7026" w:type="dxa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Сохранение доли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</w:t>
            </w: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программам менеджмента в образовании и (или) для работы в соответствии с федеральными государственными образовательными стандартами ежегодно не менее 33%.</w:t>
            </w:r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отношения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году, и численности детей в возрасте от 0 до 3 лет, находящихся в очереди на получение в текущем году дошкольного образования, с  20,4  % до 100%.</w:t>
            </w:r>
            <w:proofErr w:type="gramEnd"/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обеспеченности детей дошкольного возраста местами в дошкольных образовательных организациях (количество мест на 1000 детей) с 718,8 до 845,3  мест.</w:t>
            </w:r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Снижение отношения среднего балла единого государственного экзамена (в расчете на 1 обязательный предмет) в 10% школ с лучшими результатами единого государственного экзамена к среднему баллу единого государственного экзамена (в расчете на 1 обязательных предмета) в 10% школ с худшими результатами единого государственного экзамена с 1,15 до 1,07 раза.</w:t>
            </w:r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Увеличение охвата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 с 77,5% </w:t>
            </w:r>
            <w:proofErr w:type="gramStart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80%.</w:t>
            </w:r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Удержание доли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организаций, реализующих программы общего образования, на уровне не более 20 %.</w:t>
            </w:r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 85,6% до 97,8%.</w:t>
            </w:r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Увеличение доли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 с 85,6% до 97,8%.</w:t>
            </w:r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Увеличение доли негосударственных, в том числе некоммерческих, организаций, предоставляющих услуги в сфере образования, в общем числе организаций, предоставляющих услуги в сфере образования, с 21,4% до 47,4%.</w:t>
            </w:r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Увеличение доли граждан, получивших услуги в негосударственных, в том числе некоммерческих, организациях, в общем числе граждан, получивших услуги в сфере образования, с 1,7 % до 5,0%.</w:t>
            </w:r>
          </w:p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272DEC">
              <w:t xml:space="preserve"> </w:t>
            </w:r>
            <w:r w:rsidRPr="00272DE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</w:t>
            </w: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сданных в эксплуатацию новых объектов, предназначенных для размещения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</w:t>
            </w:r>
          </w:p>
        </w:tc>
      </w:tr>
      <w:tr w:rsidR="00272DEC" w:rsidRPr="00272DEC" w:rsidTr="008F30FD">
        <w:tc>
          <w:tcPr>
            <w:tcW w:w="3323" w:type="dxa"/>
            <w:vAlign w:val="center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26" w:type="dxa"/>
          </w:tcPr>
          <w:p w:rsidR="00272DEC" w:rsidRPr="00272DEC" w:rsidRDefault="007557CD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272DEC"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2025 годы и на период до 2030 года</w:t>
            </w:r>
          </w:p>
        </w:tc>
      </w:tr>
      <w:tr w:rsidR="00272DEC" w:rsidRPr="00272DEC" w:rsidTr="008F30FD">
        <w:tc>
          <w:tcPr>
            <w:tcW w:w="3323" w:type="dxa"/>
            <w:vAlign w:val="center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7026" w:type="dxa"/>
          </w:tcPr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Общий объем финансирования муниципальной программы составляет – 20 206 161,1 тыс. руб., в том числе: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13 772 609,4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4 519 754,0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 иные источники финансирования – 1 913 797,7 тыс. руб.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том числе по годам реализации: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 финансирования на 2019 год 1 614 499,0 тыс.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руб</w:t>
            </w:r>
            <w:proofErr w:type="spell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в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proofErr w:type="gram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spellEnd"/>
            <w:proofErr w:type="gram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1 152 056,0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330 155,0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иные источники финансирования – 132 288,0 тыс. руб.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 финансирования на 2020 год – 1 599 423,6 тыс. руб., в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proofErr w:type="gram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spellEnd"/>
            <w:proofErr w:type="gram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1 156 787,6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305 116,9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иные источники финансирования – 137 519,1 тыс. руб.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 финансирования на 2021 год – 1 604 113,0 тыс. руб., в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proofErr w:type="gram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spellEnd"/>
            <w:proofErr w:type="gram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1 156 787,6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304 364,4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иные источники финансирования – 142 961,0 тыс. руб.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 финансирования на 2022 год – 1 599 542,2 тыс. руб., в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proofErr w:type="gram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spellEnd"/>
            <w:proofErr w:type="gram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1 145 219,8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305 643,3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иные источники финансирования – 148 679,1 тыс. руб.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 финансирования на 2023 год – 1 607 731,0 тыс. руб., в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proofErr w:type="gram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spellEnd"/>
            <w:proofErr w:type="gram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1 145 219,8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307 884,6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иные источники финансирования – 154 626,6 тыс. руб.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 финансирования на 2024 год – 1 613 916,0 тыс. руб., в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proofErr w:type="gram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spellEnd"/>
            <w:proofErr w:type="gram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1 145 219,8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307 884,6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иные источники финансирования – 160 811,6 тыс. руб.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 финансирования на 2025 год – 1 629 204,2 тыс. руб., в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proofErr w:type="gram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spellEnd"/>
            <w:proofErr w:type="gram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1 145 219,8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316 740,3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иные источники финансирования – 167 244,1 тыс. руб.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 финансирования на 2026-2030 годы – 8 937 732,1 тыс. руб., в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proofErr w:type="gram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spellEnd"/>
            <w:proofErr w:type="gram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5 726 099,0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2 341 964,9 тыс. руб.;</w:t>
            </w:r>
          </w:p>
          <w:p w:rsidR="00272DEC" w:rsidRPr="00272DEC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иные источники финансирования – 869 668,2 тыс. руб.</w:t>
            </w:r>
          </w:p>
        </w:tc>
      </w:tr>
      <w:tr w:rsidR="00272DEC" w:rsidRPr="00272DEC" w:rsidTr="008F30FD">
        <w:tc>
          <w:tcPr>
            <w:tcW w:w="3323" w:type="dxa"/>
            <w:vAlign w:val="center"/>
          </w:tcPr>
          <w:p w:rsidR="00272DEC" w:rsidRPr="00272DEC" w:rsidRDefault="00272DEC" w:rsidP="00272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Параметры финансового обеспечения портфеля проектов, проекта, </w:t>
            </w:r>
            <w:proofErr w:type="gramStart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реализацию в городе </w:t>
            </w:r>
            <w:proofErr w:type="spellStart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Югорске</w:t>
            </w:r>
            <w:proofErr w:type="spellEnd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7026" w:type="dxa"/>
          </w:tcPr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Общий объем финансового обеспечения портфеля проектов, </w:t>
            </w:r>
            <w:proofErr w:type="gram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направленных</w:t>
            </w:r>
            <w:proofErr w:type="gram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том числе на реализацию в городе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Югорске</w:t>
            </w:r>
            <w:proofErr w:type="spell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национальных проектов (программ) Российской Федерации, реализуемых в составе муниципальной программы составляет – 1 187 705,1 тыс. руб., в том числе: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777 890,7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389 077,7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иные источники финансирования – 20 736,7 тыс. руб.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том числе по годам реализации: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 финансирования на 2019 год 195 965,5  тыс. руб., в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т.ч</w:t>
            </w:r>
            <w:proofErr w:type="spell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120 182,8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72 569,3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иные источники финансирования – 3 213,4 тыс. руб.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 финансирования на 2020 год – 187 064,5 тыс. руб., в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proofErr w:type="gram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spellEnd"/>
            <w:proofErr w:type="gram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125 031,1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58 751,9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иные источники финансирования – 3 281,5 тыс. руб.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 финансирования на 2021 год – 195 522,5 тыс. руб., в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proofErr w:type="gram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spellEnd"/>
            <w:proofErr w:type="gram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133 169,2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58 999,4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 иные источники финансирования – 3 353,9 тыс. руб.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 финансирования на 2022 год – 207 974,8 тыс. руб., в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proofErr w:type="gram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spellEnd"/>
            <w:proofErr w:type="gram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133 169,2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71 317,9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иные источники финансирования – 3 487,7 тыс. руб.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 финансирования на 2023 год – 200 516,4 тыс. руб., в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proofErr w:type="gram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spellEnd"/>
            <w:proofErr w:type="gram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133 169,2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63 719,6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иные источники финансирования – 3 627,6 тыс. руб.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 финансирования на 2024 год – 200 661,4 тыс. руб., в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proofErr w:type="gramStart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spellEnd"/>
            <w:proofErr w:type="gramEnd"/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бюджет автономного округа – 133 169,2 тыс. руб.;</w:t>
            </w:r>
          </w:p>
          <w:p w:rsidR="004B372D" w:rsidRPr="004B372D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 – 63 719,6 тыс. руб.;</w:t>
            </w:r>
          </w:p>
          <w:p w:rsidR="00272DEC" w:rsidRPr="00272DEC" w:rsidRDefault="004B372D" w:rsidP="004B372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372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иные источники финансирования – 3 772,6 тыс. руб.</w:t>
            </w:r>
          </w:p>
        </w:tc>
      </w:tr>
    </w:tbl>
    <w:p w:rsidR="00272DEC" w:rsidRDefault="00272DEC" w:rsidP="00272DE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72DEC">
        <w:rPr>
          <w:rFonts w:ascii="Times New Roman" w:eastAsia="Calibri" w:hAnsi="Times New Roman" w:cs="Times New Roman"/>
          <w:sz w:val="24"/>
          <w:szCs w:val="24"/>
        </w:rPr>
        <w:lastRenderedPageBreak/>
        <w:t>*Заполняется после утверждения муниципальной программы.</w:t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40BA7" w:rsidRDefault="003C7715" w:rsidP="00740BA7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Раздел I</w:t>
      </w:r>
      <w:r w:rsidR="007557CD">
        <w:rPr>
          <w:rFonts w:ascii="Times New Roman" w:eastAsia="Calibri" w:hAnsi="Times New Roman" w:cs="Times New Roman"/>
          <w:sz w:val="24"/>
          <w:szCs w:val="24"/>
        </w:rPr>
        <w:t>.</w:t>
      </w:r>
      <w:r w:rsidR="00740BA7" w:rsidRPr="005717DE">
        <w:rPr>
          <w:rFonts w:ascii="Times New Roman" w:eastAsia="Calibri" w:hAnsi="Times New Roman" w:cs="Times New Roman"/>
          <w:sz w:val="24"/>
          <w:szCs w:val="24"/>
        </w:rPr>
        <w:t xml:space="preserve">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C11429" w:rsidRPr="005717DE" w:rsidRDefault="00C11429" w:rsidP="00740BA7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>1.1. Формирова</w:t>
      </w:r>
      <w:r w:rsidR="007557CD">
        <w:rPr>
          <w:rFonts w:ascii="Times New Roman" w:eastAsia="Calibri" w:hAnsi="Times New Roman" w:cs="Times New Roman"/>
          <w:sz w:val="24"/>
          <w:szCs w:val="24"/>
        </w:rPr>
        <w:t>ние благоприятной деловой среды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Одним из ключевых факторов, оказывающих воздействие на динамику социально-экономического развития </w:t>
      </w:r>
      <w:r w:rsidR="00DF4180" w:rsidRPr="005717DE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proofErr w:type="spellStart"/>
      <w:r w:rsidR="00DF4180" w:rsidRPr="005717DE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5717DE">
        <w:rPr>
          <w:rFonts w:ascii="Times New Roman" w:eastAsia="Calibri" w:hAnsi="Times New Roman" w:cs="Times New Roman"/>
          <w:sz w:val="24"/>
          <w:szCs w:val="24"/>
        </w:rPr>
        <w:t>, является качество деловой среды и улучшение инвестиционного климата.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>Основной целью мероприятий на рынке услуг дошкольного образования является развитие сектора частных организаций.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конкуренции на рынке услуг дошкольного образования в </w:t>
      </w:r>
      <w:r w:rsidR="00DF4180" w:rsidRPr="005717D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программе выделены следующие мероприятия:</w:t>
      </w:r>
    </w:p>
    <w:p w:rsidR="00DF4180" w:rsidRPr="005717DE" w:rsidRDefault="00DF4180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>привлечение негосударственн</w:t>
      </w:r>
      <w:r w:rsidR="00F93660" w:rsidRPr="005717DE">
        <w:rPr>
          <w:rFonts w:ascii="Times New Roman" w:eastAsia="Calibri" w:hAnsi="Times New Roman" w:cs="Times New Roman"/>
          <w:sz w:val="24"/>
          <w:szCs w:val="24"/>
        </w:rPr>
        <w:t>ого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660" w:rsidRPr="005717DE">
        <w:rPr>
          <w:rFonts w:ascii="Times New Roman" w:eastAsia="Calibri" w:hAnsi="Times New Roman" w:cs="Times New Roman"/>
          <w:sz w:val="24"/>
          <w:szCs w:val="24"/>
        </w:rPr>
        <w:t>сектора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к реализации </w:t>
      </w:r>
      <w:r w:rsidR="00F93660" w:rsidRPr="005717DE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 по образовательным программам дошкольного образования;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>реализация финансово-экономической модели «Сертификат дошкольника».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>С целью обеспечения доступа негосударственного сектора к бюджетному финансированию разработана Система персонифицированного финансирования дополнительного образования детей (Сертификат дополнительного образования). С 2018 года услуги дополнительного образования, финансируемые за счет средств бюджета, оказываются на основе сертификата дополнительного образования.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В целях содействия развитию конкуренции на рынке услуг психолого-педагогического сопровождения детей с ограниченными возможностями здоровья оказывается организационно-консультативная и информационно-методическая помощь частным организациям. 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Социально ориентированные некоммерческие организации, осуществляющие деятельность в социальной сфере, имеют возможность принимать участие в реализации следующих мероприятий </w:t>
      </w:r>
      <w:r w:rsidR="00CA23D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программы:</w:t>
      </w:r>
    </w:p>
    <w:p w:rsidR="008139FA" w:rsidRDefault="008139FA" w:rsidP="008139FA">
      <w:pPr>
        <w:pStyle w:val="a8"/>
        <w:numPr>
          <w:ilvl w:val="0"/>
          <w:numId w:val="15"/>
        </w:numPr>
        <w:autoSpaceDE w:val="0"/>
        <w:autoSpaceDN w:val="0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139FA">
        <w:rPr>
          <w:rFonts w:ascii="Times New Roman" w:hAnsi="Times New Roman"/>
          <w:sz w:val="24"/>
          <w:szCs w:val="24"/>
        </w:rPr>
        <w:t xml:space="preserve"> </w:t>
      </w:r>
      <w:r w:rsidR="00740BA7" w:rsidRPr="008139FA">
        <w:rPr>
          <w:rFonts w:ascii="Times New Roman" w:hAnsi="Times New Roman"/>
          <w:sz w:val="24"/>
          <w:szCs w:val="24"/>
        </w:rPr>
        <w:t xml:space="preserve">присмотр и уход (основное мероприятие </w:t>
      </w:r>
      <w:r w:rsidR="00D43FEE" w:rsidRPr="008139FA">
        <w:rPr>
          <w:rFonts w:ascii="Times New Roman" w:hAnsi="Times New Roman"/>
          <w:sz w:val="24"/>
          <w:szCs w:val="24"/>
        </w:rPr>
        <w:t>1</w:t>
      </w:r>
      <w:r w:rsidR="00740BA7" w:rsidRPr="008139FA">
        <w:rPr>
          <w:rFonts w:ascii="Times New Roman" w:hAnsi="Times New Roman"/>
          <w:sz w:val="24"/>
          <w:szCs w:val="24"/>
        </w:rPr>
        <w:t>.</w:t>
      </w:r>
      <w:r w:rsidR="00D43FEE" w:rsidRPr="008139FA">
        <w:rPr>
          <w:rFonts w:ascii="Times New Roman" w:hAnsi="Times New Roman"/>
          <w:sz w:val="24"/>
          <w:szCs w:val="24"/>
        </w:rPr>
        <w:t>1</w:t>
      </w:r>
      <w:r w:rsidR="00740BA7" w:rsidRPr="008139FA">
        <w:rPr>
          <w:rFonts w:ascii="Times New Roman" w:hAnsi="Times New Roman"/>
          <w:sz w:val="24"/>
          <w:szCs w:val="24"/>
        </w:rPr>
        <w:t>);</w:t>
      </w:r>
    </w:p>
    <w:p w:rsidR="00740BA7" w:rsidRPr="008139FA" w:rsidRDefault="00740BA7" w:rsidP="008139FA">
      <w:pPr>
        <w:pStyle w:val="a8"/>
        <w:numPr>
          <w:ilvl w:val="0"/>
          <w:numId w:val="1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39FA">
        <w:rPr>
          <w:rFonts w:ascii="Times New Roman" w:hAnsi="Times New Roman"/>
          <w:sz w:val="24"/>
          <w:szCs w:val="24"/>
        </w:rPr>
        <w:t xml:space="preserve">реализация дополнительных общеразвивающих программ (основное мероприятие </w:t>
      </w:r>
      <w:r w:rsidR="00D43FEE" w:rsidRPr="008139FA">
        <w:rPr>
          <w:rFonts w:ascii="Times New Roman" w:hAnsi="Times New Roman"/>
          <w:sz w:val="24"/>
          <w:szCs w:val="24"/>
        </w:rPr>
        <w:t>1.2</w:t>
      </w:r>
      <w:r w:rsidR="008139FA">
        <w:rPr>
          <w:rFonts w:ascii="Times New Roman" w:hAnsi="Times New Roman"/>
          <w:sz w:val="24"/>
          <w:szCs w:val="24"/>
        </w:rPr>
        <w:t>)</w:t>
      </w:r>
      <w:r w:rsidR="00D43FEE" w:rsidRPr="008139FA">
        <w:rPr>
          <w:rFonts w:ascii="Times New Roman" w:hAnsi="Times New Roman"/>
          <w:sz w:val="24"/>
          <w:szCs w:val="24"/>
        </w:rPr>
        <w:t>.</w:t>
      </w:r>
    </w:p>
    <w:p w:rsidR="00516156" w:rsidRPr="005717DE" w:rsidRDefault="00516156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156">
        <w:rPr>
          <w:rFonts w:ascii="Times New Roman" w:eastAsia="Calibri" w:hAnsi="Times New Roman" w:cs="Times New Roman"/>
          <w:sz w:val="24"/>
          <w:szCs w:val="24"/>
        </w:rPr>
        <w:t xml:space="preserve">Реализация вышеуказанных мер позволит увеличить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число граждан </w:t>
      </w:r>
      <w:r w:rsidRPr="00516156">
        <w:rPr>
          <w:rFonts w:ascii="Times New Roman" w:eastAsia="Calibri" w:hAnsi="Times New Roman" w:cs="Times New Roman"/>
          <w:sz w:val="24"/>
          <w:szCs w:val="24"/>
        </w:rPr>
        <w:t>получивших услуги</w:t>
      </w:r>
      <w:r w:rsidR="00D43FEE" w:rsidRPr="00D43FEE">
        <w:t xml:space="preserve"> </w:t>
      </w:r>
      <w:r w:rsidR="00D43FEE" w:rsidRPr="00D43FEE">
        <w:rPr>
          <w:rFonts w:ascii="Times New Roman" w:eastAsia="Calibri" w:hAnsi="Times New Roman" w:cs="Times New Roman"/>
          <w:sz w:val="24"/>
          <w:szCs w:val="24"/>
        </w:rPr>
        <w:t>в сфере образования</w:t>
      </w:r>
      <w:r w:rsidRPr="00516156">
        <w:rPr>
          <w:rFonts w:ascii="Times New Roman" w:eastAsia="Calibri" w:hAnsi="Times New Roman" w:cs="Times New Roman"/>
          <w:sz w:val="24"/>
          <w:szCs w:val="24"/>
        </w:rPr>
        <w:t xml:space="preserve"> в негосударственных, в том числе некоммерческих, организациях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5 процентов</w:t>
      </w:r>
      <w:r w:rsidR="00D43F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>Социально ориентированные некоммерческие организации, обладающие статусом некоммерческой организации исполнителя общественно полезных услуг, имеют право на приоритетное получение мер поддержки.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>Финансовая поддержка в виде субсидий социально ориентированным некоммерческим организациям, исполнителям общественно полезных услуг предоставляется на срок не менее двух лет.</w:t>
      </w:r>
    </w:p>
    <w:p w:rsidR="00740BA7" w:rsidRPr="005717DE" w:rsidRDefault="007557CD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Инвестиционные проекты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Наряду с доступностью и качеством образования, целевой установкой </w:t>
      </w:r>
      <w:r w:rsidR="00D43FEE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программы является повышение его инвестиционной привлекательности. Так, в соответствии с </w:t>
      </w:r>
      <w:r w:rsidR="00D43FE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программой предусматривается реализация комплекса мероприятий, способствующих притоку инвестиций, финансовых, материальных, интеллектуальных и иных ресурсов в систему образования, а также увеличению доли частных организаций, оказывающих образовательные услуги.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>Основные инвестиционные приоритеты развития сферы образования связаны с реализацией проектов строительства объектов дошкольного, общего образования</w:t>
      </w:r>
      <w:r w:rsidR="00D43F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557CD">
        <w:rPr>
          <w:rFonts w:ascii="Times New Roman" w:eastAsia="Calibri" w:hAnsi="Times New Roman" w:cs="Times New Roman"/>
          <w:sz w:val="24"/>
          <w:szCs w:val="24"/>
        </w:rPr>
        <w:t>таблица 7</w:t>
      </w:r>
      <w:r w:rsidRPr="005717DE">
        <w:rPr>
          <w:rFonts w:ascii="Times New Roman" w:eastAsia="Calibri" w:hAnsi="Times New Roman" w:cs="Times New Roman"/>
          <w:sz w:val="24"/>
          <w:szCs w:val="24"/>
        </w:rPr>
        <w:t>)</w:t>
      </w:r>
      <w:r w:rsidR="00D43F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3FEE" w:rsidRDefault="00740BA7" w:rsidP="007557C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>Так, начиная с 201</w:t>
      </w:r>
      <w:r w:rsidR="00D43FEE">
        <w:rPr>
          <w:rFonts w:ascii="Times New Roman" w:eastAsia="Calibri" w:hAnsi="Times New Roman" w:cs="Times New Roman"/>
          <w:sz w:val="24"/>
          <w:szCs w:val="24"/>
        </w:rPr>
        <w:t>6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года, </w:t>
      </w:r>
      <w:r w:rsidR="00F35512" w:rsidRPr="00F35512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 w:rsidR="007557CD">
        <w:rPr>
          <w:rFonts w:ascii="Times New Roman" w:eastAsia="Calibri" w:hAnsi="Times New Roman" w:cs="Times New Roman"/>
          <w:sz w:val="24"/>
          <w:szCs w:val="24"/>
        </w:rPr>
        <w:t xml:space="preserve">план мероприятий </w:t>
      </w:r>
      <w:r w:rsidR="00F35512">
        <w:rPr>
          <w:rFonts w:ascii="Times New Roman" w:eastAsia="Calibri" w:hAnsi="Times New Roman" w:cs="Times New Roman"/>
          <w:sz w:val="24"/>
          <w:szCs w:val="24"/>
        </w:rPr>
        <w:t>«Дорожн</w:t>
      </w:r>
      <w:r w:rsidR="007557CD">
        <w:rPr>
          <w:rFonts w:ascii="Times New Roman" w:eastAsia="Calibri" w:hAnsi="Times New Roman" w:cs="Times New Roman"/>
          <w:sz w:val="24"/>
          <w:szCs w:val="24"/>
        </w:rPr>
        <w:t>ые</w:t>
      </w:r>
      <w:r w:rsidR="00F35512">
        <w:rPr>
          <w:rFonts w:ascii="Times New Roman" w:eastAsia="Calibri" w:hAnsi="Times New Roman" w:cs="Times New Roman"/>
          <w:sz w:val="24"/>
          <w:szCs w:val="24"/>
        </w:rPr>
        <w:t xml:space="preserve"> карт</w:t>
      </w:r>
      <w:r w:rsidR="007557CD">
        <w:rPr>
          <w:rFonts w:ascii="Times New Roman" w:eastAsia="Calibri" w:hAnsi="Times New Roman" w:cs="Times New Roman"/>
          <w:sz w:val="24"/>
          <w:szCs w:val="24"/>
        </w:rPr>
        <w:t>ы</w:t>
      </w:r>
      <w:r w:rsidR="00F3551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35512" w:rsidRPr="00F35512">
        <w:rPr>
          <w:rFonts w:ascii="Times New Roman" w:eastAsia="Calibri" w:hAnsi="Times New Roman" w:cs="Times New Roman"/>
          <w:sz w:val="24"/>
          <w:szCs w:val="24"/>
        </w:rPr>
        <w:t>по реализации проектов по строительству</w:t>
      </w:r>
      <w:r w:rsidR="00F355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512" w:rsidRPr="00F35512">
        <w:rPr>
          <w:rFonts w:ascii="Times New Roman" w:eastAsia="Calibri" w:hAnsi="Times New Roman" w:cs="Times New Roman"/>
          <w:sz w:val="24"/>
          <w:szCs w:val="24"/>
        </w:rPr>
        <w:t>объектов общего образования</w:t>
      </w:r>
      <w:r w:rsidR="00F355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F35512" w:rsidRPr="00F35512">
        <w:rPr>
          <w:rFonts w:ascii="Times New Roman" w:eastAsia="Calibri" w:hAnsi="Times New Roman" w:cs="Times New Roman"/>
          <w:sz w:val="24"/>
          <w:szCs w:val="24"/>
        </w:rPr>
        <w:t>направленн</w:t>
      </w:r>
      <w:r w:rsidR="00F35512">
        <w:rPr>
          <w:rFonts w:ascii="Times New Roman" w:eastAsia="Calibri" w:hAnsi="Times New Roman" w:cs="Times New Roman"/>
          <w:sz w:val="24"/>
          <w:szCs w:val="24"/>
        </w:rPr>
        <w:t>ая</w:t>
      </w:r>
      <w:proofErr w:type="gramEnd"/>
      <w:r w:rsidR="00F35512" w:rsidRPr="00F35512">
        <w:rPr>
          <w:rFonts w:ascii="Times New Roman" w:eastAsia="Calibri" w:hAnsi="Times New Roman" w:cs="Times New Roman"/>
          <w:sz w:val="24"/>
          <w:szCs w:val="24"/>
        </w:rPr>
        <w:t xml:space="preserve"> на создание новых мест в общеобразовательных организация</w:t>
      </w:r>
      <w:r w:rsidR="00F35512">
        <w:rPr>
          <w:rFonts w:ascii="Times New Roman" w:eastAsia="Calibri" w:hAnsi="Times New Roman" w:cs="Times New Roman"/>
          <w:sz w:val="24"/>
          <w:szCs w:val="24"/>
        </w:rPr>
        <w:t>х</w:t>
      </w:r>
      <w:r w:rsidR="007557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57CD" w:rsidRPr="007557CD">
        <w:rPr>
          <w:rFonts w:ascii="Times New Roman" w:eastAsia="Calibri" w:hAnsi="Times New Roman" w:cs="Times New Roman"/>
          <w:sz w:val="24"/>
          <w:szCs w:val="24"/>
        </w:rPr>
        <w:t>(</w:t>
      </w:r>
      <w:r w:rsidR="00375C38">
        <w:rPr>
          <w:rFonts w:ascii="Times New Roman" w:eastAsia="Calibri" w:hAnsi="Times New Roman" w:cs="Times New Roman"/>
          <w:sz w:val="24"/>
          <w:szCs w:val="24"/>
        </w:rPr>
        <w:t>д</w:t>
      </w:r>
      <w:r w:rsidR="007557CD">
        <w:rPr>
          <w:rFonts w:ascii="Times New Roman" w:eastAsia="Calibri" w:hAnsi="Times New Roman" w:cs="Times New Roman"/>
          <w:sz w:val="24"/>
          <w:szCs w:val="24"/>
        </w:rPr>
        <w:t xml:space="preserve">алее </w:t>
      </w:r>
      <w:r w:rsidR="00375C3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557CD" w:rsidRPr="007557CD">
        <w:rPr>
          <w:rFonts w:ascii="Times New Roman" w:eastAsia="Calibri" w:hAnsi="Times New Roman" w:cs="Times New Roman"/>
          <w:sz w:val="24"/>
          <w:szCs w:val="24"/>
        </w:rPr>
        <w:t>«Дорожные карты») по реализации проектов по строительству объектов общего</w:t>
      </w:r>
      <w:r w:rsidR="00375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57CD" w:rsidRPr="007557CD">
        <w:rPr>
          <w:rFonts w:ascii="Times New Roman" w:eastAsia="Calibri" w:hAnsi="Times New Roman" w:cs="Times New Roman"/>
          <w:sz w:val="24"/>
          <w:szCs w:val="24"/>
        </w:rPr>
        <w:t xml:space="preserve">образования в городе </w:t>
      </w:r>
      <w:proofErr w:type="spellStart"/>
      <w:r w:rsidR="007557CD" w:rsidRPr="007557CD">
        <w:rPr>
          <w:rFonts w:ascii="Times New Roman" w:eastAsia="Calibri" w:hAnsi="Times New Roman" w:cs="Times New Roman"/>
          <w:sz w:val="24"/>
          <w:szCs w:val="24"/>
        </w:rPr>
        <w:t>Югорске</w:t>
      </w:r>
      <w:proofErr w:type="spellEnd"/>
      <w:r w:rsidR="00F355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BA7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Особая роль при реализации </w:t>
      </w:r>
      <w:r w:rsidR="00F35512" w:rsidRPr="00F35512">
        <w:rPr>
          <w:rFonts w:ascii="Times New Roman" w:eastAsia="Calibri" w:hAnsi="Times New Roman" w:cs="Times New Roman"/>
          <w:sz w:val="24"/>
          <w:szCs w:val="24"/>
        </w:rPr>
        <w:t>«Дорожн</w:t>
      </w:r>
      <w:r w:rsidR="00375C38">
        <w:rPr>
          <w:rFonts w:ascii="Times New Roman" w:eastAsia="Calibri" w:hAnsi="Times New Roman" w:cs="Times New Roman"/>
          <w:sz w:val="24"/>
          <w:szCs w:val="24"/>
        </w:rPr>
        <w:t>ых</w:t>
      </w:r>
      <w:r w:rsidR="00F35512" w:rsidRPr="00F35512">
        <w:rPr>
          <w:rFonts w:ascii="Times New Roman" w:eastAsia="Calibri" w:hAnsi="Times New Roman" w:cs="Times New Roman"/>
          <w:sz w:val="24"/>
          <w:szCs w:val="24"/>
        </w:rPr>
        <w:t xml:space="preserve"> карт» 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отводится созданию объектов на условиях </w:t>
      </w:r>
      <w:r w:rsidR="001911F4" w:rsidRPr="001911F4">
        <w:rPr>
          <w:rFonts w:ascii="Times New Roman" w:eastAsia="Calibri" w:hAnsi="Times New Roman" w:cs="Times New Roman"/>
          <w:sz w:val="24"/>
          <w:szCs w:val="24"/>
        </w:rPr>
        <w:t xml:space="preserve">инвестиционных проектов </w:t>
      </w:r>
      <w:r w:rsidRPr="005717DE">
        <w:rPr>
          <w:rFonts w:ascii="Times New Roman" w:eastAsia="Calibri" w:hAnsi="Times New Roman" w:cs="Times New Roman"/>
          <w:sz w:val="24"/>
          <w:szCs w:val="24"/>
        </w:rPr>
        <w:t>и концессионных соглашений.</w:t>
      </w:r>
    </w:p>
    <w:p w:rsidR="001911F4" w:rsidRDefault="0030604D" w:rsidP="001911F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04D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</w:t>
      </w:r>
      <w:r w:rsidR="00375C38" w:rsidRPr="00375C38">
        <w:rPr>
          <w:rFonts w:ascii="Times New Roman" w:eastAsia="Calibri" w:hAnsi="Times New Roman" w:cs="Times New Roman"/>
          <w:sz w:val="24"/>
          <w:szCs w:val="24"/>
        </w:rPr>
        <w:t xml:space="preserve">Ханты – Мансийского автономного округа – Югры </w:t>
      </w:r>
      <w:r w:rsidRPr="0030604D">
        <w:rPr>
          <w:rFonts w:ascii="Times New Roman" w:eastAsia="Calibri" w:hAnsi="Times New Roman" w:cs="Times New Roman"/>
          <w:sz w:val="24"/>
          <w:szCs w:val="24"/>
        </w:rPr>
        <w:t>от 05.10.2018 № 338-п утверждена новая государственная программа Ханты – Мансийского автономного округа – Югры «Развитие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(действует с 01.01.2019) определен </w:t>
      </w:r>
      <w:r w:rsidR="001911F4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1911F4" w:rsidRPr="001911F4">
        <w:rPr>
          <w:rFonts w:ascii="Times New Roman" w:eastAsia="Calibri" w:hAnsi="Times New Roman" w:cs="Times New Roman"/>
          <w:sz w:val="24"/>
          <w:szCs w:val="24"/>
        </w:rPr>
        <w:t>создани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1911F4" w:rsidRPr="001911F4">
        <w:rPr>
          <w:rFonts w:ascii="Times New Roman" w:eastAsia="Calibri" w:hAnsi="Times New Roman" w:cs="Times New Roman"/>
          <w:sz w:val="24"/>
          <w:szCs w:val="24"/>
        </w:rPr>
        <w:t xml:space="preserve"> путем</w:t>
      </w:r>
      <w:r w:rsidR="008139FA">
        <w:rPr>
          <w:rFonts w:ascii="Times New Roman" w:eastAsia="Calibri" w:hAnsi="Times New Roman" w:cs="Times New Roman"/>
          <w:sz w:val="24"/>
          <w:szCs w:val="24"/>
        </w:rPr>
        <w:t xml:space="preserve"> заключения</w:t>
      </w:r>
      <w:r w:rsidR="001911F4" w:rsidRPr="001911F4">
        <w:rPr>
          <w:rFonts w:ascii="Times New Roman" w:eastAsia="Calibri" w:hAnsi="Times New Roman" w:cs="Times New Roman"/>
          <w:sz w:val="24"/>
          <w:szCs w:val="24"/>
        </w:rPr>
        <w:t xml:space="preserve"> концессионного соглашения в </w:t>
      </w:r>
      <w:proofErr w:type="spellStart"/>
      <w:r w:rsidR="001911F4" w:rsidRPr="001911F4">
        <w:rPr>
          <w:rFonts w:ascii="Times New Roman" w:eastAsia="Calibri" w:hAnsi="Times New Roman" w:cs="Times New Roman"/>
          <w:sz w:val="24"/>
          <w:szCs w:val="24"/>
        </w:rPr>
        <w:t>Югорске</w:t>
      </w:r>
      <w:proofErr w:type="spellEnd"/>
      <w:r w:rsidR="001911F4" w:rsidRPr="001911F4">
        <w:rPr>
          <w:rFonts w:ascii="Times New Roman" w:eastAsia="Calibri" w:hAnsi="Times New Roman" w:cs="Times New Roman"/>
          <w:sz w:val="24"/>
          <w:szCs w:val="24"/>
        </w:rPr>
        <w:t xml:space="preserve"> объект</w:t>
      </w:r>
      <w:r w:rsidR="001911F4">
        <w:rPr>
          <w:rFonts w:ascii="Times New Roman" w:eastAsia="Calibri" w:hAnsi="Times New Roman" w:cs="Times New Roman"/>
          <w:sz w:val="24"/>
          <w:szCs w:val="24"/>
        </w:rPr>
        <w:t>ов</w:t>
      </w:r>
      <w:r w:rsidR="001911F4" w:rsidRPr="001911F4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 w:rsidR="001911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911F4" w:rsidRPr="008139FA" w:rsidRDefault="008139FA" w:rsidP="008139FA">
      <w:pPr>
        <w:pStyle w:val="a8"/>
        <w:numPr>
          <w:ilvl w:val="0"/>
          <w:numId w:val="18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139FA">
        <w:rPr>
          <w:rFonts w:ascii="Times New Roman" w:hAnsi="Times New Roman"/>
          <w:sz w:val="24"/>
          <w:szCs w:val="24"/>
        </w:rPr>
        <w:lastRenderedPageBreak/>
        <w:t>с</w:t>
      </w:r>
      <w:r w:rsidR="001911F4" w:rsidRPr="008139FA">
        <w:rPr>
          <w:rFonts w:ascii="Times New Roman" w:hAnsi="Times New Roman"/>
          <w:sz w:val="24"/>
          <w:szCs w:val="24"/>
        </w:rPr>
        <w:t xml:space="preserve">редняя общеобразовательная школа (Общеобразовательная организация с углубленным изучением отдельных предметов с универсальной </w:t>
      </w:r>
      <w:proofErr w:type="spellStart"/>
      <w:r w:rsidR="001911F4" w:rsidRPr="008139FA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="001911F4" w:rsidRPr="008139FA">
        <w:rPr>
          <w:rFonts w:ascii="Times New Roman" w:hAnsi="Times New Roman"/>
          <w:sz w:val="24"/>
          <w:szCs w:val="24"/>
        </w:rPr>
        <w:t xml:space="preserve"> средой) </w:t>
      </w:r>
      <w:r w:rsidR="0030604D" w:rsidRPr="008139FA">
        <w:rPr>
          <w:rFonts w:ascii="Times New Roman" w:hAnsi="Times New Roman"/>
          <w:sz w:val="24"/>
          <w:szCs w:val="24"/>
        </w:rPr>
        <w:t>м</w:t>
      </w:r>
      <w:r w:rsidR="001911F4" w:rsidRPr="008139FA">
        <w:rPr>
          <w:rFonts w:ascii="Times New Roman" w:hAnsi="Times New Roman"/>
          <w:sz w:val="24"/>
          <w:szCs w:val="24"/>
        </w:rPr>
        <w:t>ощностью 900 мест</w:t>
      </w:r>
      <w:r w:rsidR="0030604D" w:rsidRPr="008139FA">
        <w:rPr>
          <w:rFonts w:ascii="Times New Roman" w:hAnsi="Times New Roman"/>
          <w:sz w:val="24"/>
          <w:szCs w:val="24"/>
        </w:rPr>
        <w:t xml:space="preserve"> (с</w:t>
      </w:r>
      <w:r w:rsidR="001911F4" w:rsidRPr="008139FA">
        <w:rPr>
          <w:rFonts w:ascii="Times New Roman" w:hAnsi="Times New Roman"/>
          <w:sz w:val="24"/>
          <w:szCs w:val="24"/>
        </w:rPr>
        <w:t xml:space="preserve">рок создания объекта образования </w:t>
      </w:r>
      <w:r w:rsidR="0030604D" w:rsidRPr="008139FA">
        <w:rPr>
          <w:rFonts w:ascii="Times New Roman" w:hAnsi="Times New Roman"/>
          <w:sz w:val="24"/>
          <w:szCs w:val="24"/>
        </w:rPr>
        <w:t>2022-2024 годы);</w:t>
      </w:r>
    </w:p>
    <w:p w:rsidR="0030604D" w:rsidRPr="008139FA" w:rsidRDefault="008139FA" w:rsidP="008139FA">
      <w:pPr>
        <w:pStyle w:val="a8"/>
        <w:numPr>
          <w:ilvl w:val="0"/>
          <w:numId w:val="1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39FA">
        <w:rPr>
          <w:rFonts w:ascii="Times New Roman" w:hAnsi="Times New Roman"/>
          <w:sz w:val="24"/>
          <w:szCs w:val="24"/>
        </w:rPr>
        <w:t>с</w:t>
      </w:r>
      <w:r w:rsidR="0030604D" w:rsidRPr="008139FA">
        <w:rPr>
          <w:rFonts w:ascii="Times New Roman" w:hAnsi="Times New Roman"/>
          <w:sz w:val="24"/>
          <w:szCs w:val="24"/>
        </w:rPr>
        <w:t>редняя общеобразовательная школа, 900 мест (срок создания объекта образования 2022-2024 годы)</w:t>
      </w:r>
      <w:r w:rsidR="00EF7D1B" w:rsidRPr="008139FA">
        <w:rPr>
          <w:rFonts w:ascii="Times New Roman" w:hAnsi="Times New Roman"/>
          <w:sz w:val="24"/>
          <w:szCs w:val="24"/>
        </w:rPr>
        <w:t>.</w:t>
      </w:r>
    </w:p>
    <w:p w:rsidR="00EF7D1B" w:rsidRDefault="00EF7D1B" w:rsidP="001911F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Путем </w:t>
      </w:r>
      <w:r w:rsidR="008139FA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eastAsia="Calibri" w:hAnsi="Times New Roman" w:cs="Times New Roman"/>
          <w:sz w:val="24"/>
          <w:szCs w:val="24"/>
        </w:rPr>
        <w:t>инвестиционных проектов:</w:t>
      </w:r>
    </w:p>
    <w:p w:rsidR="00EF7D1B" w:rsidRPr="008139FA" w:rsidRDefault="008139FA" w:rsidP="008139FA">
      <w:pPr>
        <w:pStyle w:val="a8"/>
        <w:numPr>
          <w:ilvl w:val="0"/>
          <w:numId w:val="17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F7D1B" w:rsidRPr="008139FA">
        <w:rPr>
          <w:rFonts w:ascii="Times New Roman" w:hAnsi="Times New Roman"/>
          <w:sz w:val="24"/>
          <w:szCs w:val="24"/>
        </w:rPr>
        <w:t>униципальное общеобразовательное учреждение, мощностью 500 мест (срок создания объекта образования 2024-2026 годы);</w:t>
      </w:r>
    </w:p>
    <w:p w:rsidR="00EF7D1B" w:rsidRPr="008139FA" w:rsidRDefault="008139FA" w:rsidP="008139FA">
      <w:pPr>
        <w:pStyle w:val="a8"/>
        <w:numPr>
          <w:ilvl w:val="0"/>
          <w:numId w:val="17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F7D1B" w:rsidRPr="008139FA">
        <w:rPr>
          <w:rFonts w:ascii="Times New Roman" w:hAnsi="Times New Roman"/>
          <w:sz w:val="24"/>
          <w:szCs w:val="24"/>
        </w:rPr>
        <w:t xml:space="preserve">етский сад на 344 места, по адресу: г. </w:t>
      </w:r>
      <w:proofErr w:type="spellStart"/>
      <w:r w:rsidR="00EF7D1B" w:rsidRPr="008139FA">
        <w:rPr>
          <w:rFonts w:ascii="Times New Roman" w:hAnsi="Times New Roman"/>
          <w:sz w:val="24"/>
          <w:szCs w:val="24"/>
        </w:rPr>
        <w:t>Югорск</w:t>
      </w:r>
      <w:proofErr w:type="spellEnd"/>
      <w:r w:rsidR="00EF7D1B" w:rsidRPr="008139FA">
        <w:rPr>
          <w:rFonts w:ascii="Times New Roman" w:hAnsi="Times New Roman"/>
          <w:sz w:val="24"/>
          <w:szCs w:val="24"/>
        </w:rPr>
        <w:t>, бульвар Сибирский (срок создания объекта образования 2013-2019 годы).</w:t>
      </w:r>
    </w:p>
    <w:p w:rsidR="00740BA7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>Приобретение, создание объектов недвижимого имущества, предназначенных для размещения</w:t>
      </w:r>
      <w:r w:rsidR="001911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дошкольных образовательных организаций, общеобразовательных организаций муниципальной собственности осуществляется на условиях </w:t>
      </w:r>
      <w:r w:rsidR="000E4D0B">
        <w:rPr>
          <w:rFonts w:ascii="Times New Roman" w:eastAsia="Calibri" w:hAnsi="Times New Roman" w:cs="Times New Roman"/>
          <w:sz w:val="24"/>
          <w:szCs w:val="24"/>
        </w:rPr>
        <w:t>инвестиционных проектов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и концессионных соглашений.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В результате реализации </w:t>
      </w:r>
      <w:r w:rsidR="000E4D0B">
        <w:rPr>
          <w:rFonts w:ascii="Times New Roman" w:eastAsia="Calibri" w:hAnsi="Times New Roman" w:cs="Times New Roman"/>
          <w:sz w:val="24"/>
          <w:szCs w:val="24"/>
        </w:rPr>
        <w:t>Дорожной карты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к 2021 году обучающиеся 1 – 4 классов и 10 – 11 (12) классов в общеобразовательных организациях перейдут на обучение в одну смену, а к 2025 году – 100</w:t>
      </w:r>
      <w:r w:rsidR="000E4D0B">
        <w:rPr>
          <w:rFonts w:ascii="Times New Roman" w:eastAsia="Calibri" w:hAnsi="Times New Roman" w:cs="Times New Roman"/>
          <w:sz w:val="24"/>
          <w:szCs w:val="24"/>
        </w:rPr>
        <w:t xml:space="preserve"> процентов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обучающихся будут заниматься в одну смену.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>1.3. Развитие конкуренции.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Основным инструментом для формирования и реализации конкурентной политики в </w:t>
      </w:r>
      <w:r w:rsidR="000E4D0B">
        <w:rPr>
          <w:rFonts w:ascii="Times New Roman" w:eastAsia="Calibri" w:hAnsi="Times New Roman" w:cs="Times New Roman"/>
          <w:sz w:val="24"/>
          <w:szCs w:val="24"/>
        </w:rPr>
        <w:t xml:space="preserve">городе </w:t>
      </w:r>
      <w:proofErr w:type="spellStart"/>
      <w:r w:rsidR="000E4D0B">
        <w:rPr>
          <w:rFonts w:ascii="Times New Roman" w:eastAsia="Calibri" w:hAnsi="Times New Roman" w:cs="Times New Roman"/>
          <w:sz w:val="24"/>
          <w:szCs w:val="24"/>
        </w:rPr>
        <w:t>Югорске</w:t>
      </w:r>
      <w:proofErr w:type="spellEnd"/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с 2015 года стал стандарт развития конкуренции в субъектах Российской Федерации, утвержденный распоряжением Правительства Российской Федерации от </w:t>
      </w:r>
      <w:r w:rsidR="008139FA">
        <w:rPr>
          <w:rFonts w:ascii="Times New Roman" w:eastAsia="Calibri" w:hAnsi="Times New Roman" w:cs="Times New Roman"/>
          <w:sz w:val="24"/>
          <w:szCs w:val="24"/>
        </w:rPr>
        <w:t>0</w:t>
      </w:r>
      <w:r w:rsidRPr="005717DE">
        <w:rPr>
          <w:rFonts w:ascii="Times New Roman" w:eastAsia="Calibri" w:hAnsi="Times New Roman" w:cs="Times New Roman"/>
          <w:sz w:val="24"/>
          <w:szCs w:val="24"/>
        </w:rPr>
        <w:t>5</w:t>
      </w:r>
      <w:r w:rsidR="008139FA">
        <w:rPr>
          <w:rFonts w:ascii="Times New Roman" w:eastAsia="Calibri" w:hAnsi="Times New Roman" w:cs="Times New Roman"/>
          <w:sz w:val="24"/>
          <w:szCs w:val="24"/>
        </w:rPr>
        <w:t>.09.</w:t>
      </w:r>
      <w:r w:rsidRPr="005717DE">
        <w:rPr>
          <w:rFonts w:ascii="Times New Roman" w:eastAsia="Calibri" w:hAnsi="Times New Roman" w:cs="Times New Roman"/>
          <w:sz w:val="24"/>
          <w:szCs w:val="24"/>
        </w:rPr>
        <w:t>2015 года № 1738-р «Об утверждении стандарта развития конкуренции в субъектах Российской Федерации».</w:t>
      </w:r>
    </w:p>
    <w:p w:rsidR="00FF3134" w:rsidRDefault="000E4D0B" w:rsidP="00740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36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 w:rsidRPr="000E4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(«дорожной карте») по поддержке доступа негосударственных организаций (коммерческих, некоммерческих) к предоставлению услуг в социальной сфере в городе </w:t>
      </w:r>
      <w:proofErr w:type="spellStart"/>
      <w:r w:rsidRPr="000E4D0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Югорске</w:t>
      </w:r>
      <w:proofErr w:type="spellEnd"/>
      <w:r w:rsidRPr="000E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09.09.2016 № 2202 «</w:t>
      </w:r>
      <w:r w:rsidRPr="000E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плане мероприятий («дорожной карте») по поддержке доступа негосударственных организаций (коммерческих, некоммерческих) к предоставлению услуг в социальной сфере в городе </w:t>
      </w:r>
      <w:proofErr w:type="spellStart"/>
      <w:r w:rsidRPr="000E4D0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Югорске</w:t>
      </w:r>
      <w:proofErr w:type="spellEnd"/>
      <w:r w:rsidRPr="000E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– 2020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0E4D0B">
        <w:t xml:space="preserve"> </w:t>
      </w:r>
      <w:r w:rsidRPr="000E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негосударственным организациям </w:t>
      </w:r>
      <w:r w:rsidR="00FF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передать </w:t>
      </w:r>
      <w:r w:rsidR="00FF3134" w:rsidRPr="00FF3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="00FF3134" w:rsidRPr="00FF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услуг</w:t>
      </w:r>
      <w:r w:rsidR="00FF31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3134" w:rsidRPr="00F258E7" w:rsidRDefault="00F258E7" w:rsidP="00F258E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8E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FF3134" w:rsidRPr="00F258E7">
        <w:rPr>
          <w:rFonts w:ascii="Times New Roman" w:eastAsia="Times New Roman" w:hAnsi="Times New Roman"/>
          <w:sz w:val="24"/>
          <w:szCs w:val="24"/>
          <w:lang w:eastAsia="ru-RU"/>
        </w:rPr>
        <w:t>еализация основных общеобразовательных программ дошкольного образования</w:t>
      </w:r>
    </w:p>
    <w:p w:rsidR="00FF3134" w:rsidRPr="00F258E7" w:rsidRDefault="00FF3134" w:rsidP="00F258E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8E7">
        <w:rPr>
          <w:rFonts w:ascii="Times New Roman" w:eastAsia="Times New Roman" w:hAnsi="Times New Roman"/>
          <w:sz w:val="24"/>
          <w:szCs w:val="24"/>
          <w:lang w:eastAsia="ru-RU"/>
        </w:rPr>
        <w:t>реализация дополнительных общеразвивающих программ</w:t>
      </w:r>
    </w:p>
    <w:p w:rsidR="00FF3134" w:rsidRPr="00F258E7" w:rsidRDefault="00FF3134" w:rsidP="00F258E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8E7">
        <w:rPr>
          <w:rFonts w:ascii="Times New Roman" w:eastAsia="Times New Roman" w:hAnsi="Times New Roman"/>
          <w:sz w:val="24"/>
          <w:szCs w:val="24"/>
          <w:lang w:eastAsia="ru-RU"/>
        </w:rPr>
        <w:t>присмотр и уход</w:t>
      </w:r>
    </w:p>
    <w:p w:rsidR="00FF3134" w:rsidRPr="00F258E7" w:rsidRDefault="00FF3134" w:rsidP="00F258E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8E7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</w:p>
    <w:p w:rsidR="00FF3134" w:rsidRPr="00F258E7" w:rsidRDefault="00F258E7" w:rsidP="00F258E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F3134" w:rsidRPr="00F258E7">
        <w:rPr>
          <w:rFonts w:ascii="Times New Roman" w:eastAsia="Times New Roman" w:hAnsi="Times New Roman"/>
          <w:sz w:val="24"/>
          <w:szCs w:val="24"/>
          <w:lang w:eastAsia="ru-RU"/>
        </w:rPr>
        <w:t>слуги психолого-педагогического консультирования обучающихся, их родителей (законных представителей) и педагогических работников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4D0B" w:rsidRDefault="00F258E7" w:rsidP="00740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E4D0B" w:rsidRPr="000E4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переданы следующие виды услуг</w:t>
      </w:r>
      <w:r w:rsidR="006A3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4D0B" w:rsidRPr="00F258E7" w:rsidRDefault="000E4D0B" w:rsidP="00F258E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8E7">
        <w:rPr>
          <w:rFonts w:ascii="Times New Roman" w:eastAsia="Times New Roman" w:hAnsi="Times New Roman"/>
          <w:sz w:val="24"/>
          <w:szCs w:val="24"/>
          <w:lang w:eastAsia="ru-RU"/>
        </w:rPr>
        <w:t>реализация основных общеобразовательных программ дошкольного образования;</w:t>
      </w:r>
    </w:p>
    <w:p w:rsidR="006A364B" w:rsidRPr="00F258E7" w:rsidRDefault="000E4D0B" w:rsidP="00F258E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8E7">
        <w:rPr>
          <w:rFonts w:ascii="Times New Roman" w:eastAsia="Times New Roman" w:hAnsi="Times New Roman"/>
          <w:sz w:val="24"/>
          <w:szCs w:val="24"/>
          <w:lang w:eastAsia="ru-RU"/>
        </w:rPr>
        <w:t>присмотр и уход</w:t>
      </w:r>
      <w:r w:rsidR="006A364B" w:rsidRPr="00F258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>С целью развития конкурентной среды разработаны и внедрены новые финансово</w:t>
      </w:r>
      <w:r w:rsidR="00EF7D1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="00EF7D1B">
        <w:rPr>
          <w:rFonts w:ascii="Times New Roman" w:eastAsia="Calibri" w:hAnsi="Times New Roman" w:cs="Times New Roman"/>
          <w:sz w:val="24"/>
          <w:szCs w:val="24"/>
        </w:rPr>
        <w:t>э</w:t>
      </w:r>
      <w:r w:rsidRPr="005717DE">
        <w:rPr>
          <w:rFonts w:ascii="Times New Roman" w:eastAsia="Calibri" w:hAnsi="Times New Roman" w:cs="Times New Roman"/>
          <w:sz w:val="24"/>
          <w:szCs w:val="24"/>
        </w:rPr>
        <w:t>кономические</w:t>
      </w:r>
      <w:r w:rsidR="00EF7D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7DE">
        <w:rPr>
          <w:rFonts w:ascii="Times New Roman" w:eastAsia="Calibri" w:hAnsi="Times New Roman" w:cs="Times New Roman"/>
          <w:sz w:val="24"/>
          <w:szCs w:val="24"/>
        </w:rPr>
        <w:t>механизмы</w:t>
      </w:r>
      <w:proofErr w:type="gramEnd"/>
      <w:r w:rsidRPr="005717DE">
        <w:rPr>
          <w:rFonts w:ascii="Times New Roman" w:eastAsia="Calibri" w:hAnsi="Times New Roman" w:cs="Times New Roman"/>
          <w:sz w:val="24"/>
          <w:szCs w:val="24"/>
        </w:rPr>
        <w:t>, обеспечивающие негосударственным организациям доступ к бюджетному финансированию («Сертификат дошкольного образования», «Сертификат дополнительного образования детей»), осуществляется организационно-методическая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740BA7" w:rsidRDefault="00740BA7" w:rsidP="00740BA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740BA7" w:rsidRDefault="00740BA7" w:rsidP="00740BA7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5717D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. Механизм реализации </w:t>
      </w:r>
      <w:r w:rsidR="00816A62" w:rsidRPr="005717D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</w:p>
    <w:p w:rsidR="004A266B" w:rsidRPr="005717DE" w:rsidRDefault="004A266B" w:rsidP="00740BA7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E84396" w:rsidRPr="005717DE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программа формируется в соответствии с государственной политикой с учетом результатов социологических исследований в сфере образования, общественного обсуждения, инициативного бюджетирования и реализуется в течение 2019 – 2030 годов.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2.2. </w:t>
      </w:r>
      <w:r w:rsidR="00816A62" w:rsidRPr="005717DE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программа реализуется совместными усилиями ответственног</w:t>
      </w:r>
      <w:r w:rsidR="00816A62" w:rsidRPr="005717DE">
        <w:rPr>
          <w:rFonts w:ascii="Times New Roman" w:eastAsia="Calibri" w:hAnsi="Times New Roman" w:cs="Times New Roman"/>
          <w:sz w:val="24"/>
          <w:szCs w:val="24"/>
        </w:rPr>
        <w:t>о исполнителя, соисполнителей</w:t>
      </w:r>
      <w:r w:rsidRPr="005717DE">
        <w:rPr>
          <w:rFonts w:ascii="Times New Roman" w:eastAsia="Calibri" w:hAnsi="Times New Roman" w:cs="Times New Roman"/>
          <w:sz w:val="24"/>
          <w:szCs w:val="24"/>
        </w:rPr>
        <w:t>. Ответственный исполнитель государственной программы осуществляет текущее управление реализацией государственной программы, обладает правом вносить предложения об изменении объемов финансовых средств, направляемых на решение отдельных задач государственной программы.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</w:t>
      </w:r>
      <w:r w:rsidR="00EF7D1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A62" w:rsidRPr="005717DE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proofErr w:type="spellStart"/>
      <w:r w:rsidR="00816A62" w:rsidRPr="005717DE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– ответственны</w:t>
      </w:r>
      <w:r w:rsidR="00EF7D1B">
        <w:rPr>
          <w:rFonts w:ascii="Times New Roman" w:eastAsia="Calibri" w:hAnsi="Times New Roman" w:cs="Times New Roman"/>
          <w:sz w:val="24"/>
          <w:szCs w:val="24"/>
        </w:rPr>
        <w:t>е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исполнител</w:t>
      </w:r>
      <w:r w:rsidR="00EF7D1B">
        <w:rPr>
          <w:rFonts w:ascii="Times New Roman" w:eastAsia="Calibri" w:hAnsi="Times New Roman" w:cs="Times New Roman"/>
          <w:sz w:val="24"/>
          <w:szCs w:val="24"/>
        </w:rPr>
        <w:t>и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A62" w:rsidRPr="005717D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816A62" w:rsidRPr="005717DE">
        <w:rPr>
          <w:rFonts w:ascii="Times New Roman" w:eastAsia="Calibri" w:hAnsi="Times New Roman" w:cs="Times New Roman"/>
          <w:sz w:val="24"/>
          <w:szCs w:val="24"/>
        </w:rPr>
        <w:t>ы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несут предусмотренную федеральными законами</w:t>
      </w:r>
      <w:r w:rsidR="00816A62" w:rsidRPr="005717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77BD">
        <w:rPr>
          <w:rFonts w:ascii="Times New Roman" w:eastAsia="Calibri" w:hAnsi="Times New Roman" w:cs="Times New Roman"/>
          <w:sz w:val="24"/>
          <w:szCs w:val="24"/>
        </w:rPr>
        <w:t xml:space="preserve">муниципальными правовыми актами города </w:t>
      </w:r>
      <w:proofErr w:type="spellStart"/>
      <w:r w:rsidR="005C77BD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(дисциплинарную, гражданско-правовую и административную), в том числе </w:t>
      </w:r>
      <w:proofErr w:type="gramStart"/>
      <w:r w:rsidRPr="005717D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5717D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достижение показателей, предусмотренных соглашениями о предоставлении субсидий из </w:t>
      </w:r>
      <w:r w:rsidR="005C77BD" w:rsidRPr="005C77BD">
        <w:rPr>
          <w:rFonts w:ascii="Times New Roman" w:eastAsia="Calibri" w:hAnsi="Times New Roman" w:cs="Times New Roman"/>
          <w:sz w:val="24"/>
          <w:szCs w:val="24"/>
        </w:rPr>
        <w:t>бюджет</w:t>
      </w:r>
      <w:r w:rsidR="005C77BD">
        <w:rPr>
          <w:rFonts w:ascii="Times New Roman" w:eastAsia="Calibri" w:hAnsi="Times New Roman" w:cs="Times New Roman"/>
          <w:sz w:val="24"/>
          <w:szCs w:val="24"/>
        </w:rPr>
        <w:t>а</w:t>
      </w:r>
      <w:r w:rsidR="005C77BD" w:rsidRPr="005C77BD">
        <w:rPr>
          <w:rFonts w:ascii="Times New Roman" w:eastAsia="Calibri" w:hAnsi="Times New Roman" w:cs="Times New Roman"/>
          <w:sz w:val="24"/>
          <w:szCs w:val="24"/>
        </w:rPr>
        <w:t xml:space="preserve"> автономного округа 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бюджету </w:t>
      </w:r>
      <w:r w:rsidR="005C77BD">
        <w:rPr>
          <w:rFonts w:ascii="Times New Roman" w:eastAsia="Calibri" w:hAnsi="Times New Roman" w:cs="Times New Roman"/>
          <w:sz w:val="24"/>
          <w:szCs w:val="24"/>
        </w:rPr>
        <w:t>муниципальному</w:t>
      </w:r>
      <w:r w:rsidRPr="005717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достижение целевых показателей </w:t>
      </w:r>
      <w:r w:rsidR="005C77B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программы, а также конечных результатов ее реализации;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своевременную и качественную реализацию </w:t>
      </w:r>
      <w:r w:rsidR="005C77B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2.3. Механизм реализации </w:t>
      </w:r>
      <w:r w:rsidR="005C77BD" w:rsidRPr="005C77B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 предполагает:</w:t>
      </w:r>
    </w:p>
    <w:p w:rsidR="00867A84" w:rsidRDefault="00867A84" w:rsidP="004A266B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р</w:t>
      </w:r>
      <w:r w:rsidR="00740BA7" w:rsidRPr="00867A84">
        <w:rPr>
          <w:rFonts w:ascii="Times New Roman" w:hAnsi="Times New Roman"/>
          <w:sz w:val="24"/>
          <w:szCs w:val="24"/>
        </w:rPr>
        <w:t xml:space="preserve">азработку и принятие нормативных правовых актов </w:t>
      </w:r>
      <w:r w:rsidR="005C77BD" w:rsidRPr="00867A84"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 w:rsidR="005C77BD" w:rsidRPr="00867A84">
        <w:rPr>
          <w:rFonts w:ascii="Times New Roman" w:hAnsi="Times New Roman"/>
          <w:sz w:val="24"/>
          <w:szCs w:val="24"/>
        </w:rPr>
        <w:t>Югорска</w:t>
      </w:r>
      <w:proofErr w:type="spellEnd"/>
      <w:r w:rsidR="00740BA7" w:rsidRPr="00867A84">
        <w:rPr>
          <w:rFonts w:ascii="Times New Roman" w:hAnsi="Times New Roman"/>
          <w:sz w:val="24"/>
          <w:szCs w:val="24"/>
        </w:rPr>
        <w:t>, необходимых для ее выполнения</w:t>
      </w:r>
      <w:r w:rsidRPr="00867A84">
        <w:rPr>
          <w:rFonts w:ascii="Times New Roman" w:hAnsi="Times New Roman"/>
          <w:sz w:val="24"/>
          <w:szCs w:val="24"/>
        </w:rPr>
        <w:t>;</w:t>
      </w:r>
    </w:p>
    <w:p w:rsidR="00867A84" w:rsidRDefault="00867A84" w:rsidP="004A266B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о</w:t>
      </w:r>
      <w:r w:rsidR="00740BA7" w:rsidRPr="00867A84">
        <w:rPr>
          <w:rFonts w:ascii="Times New Roman" w:hAnsi="Times New Roman"/>
          <w:sz w:val="24"/>
          <w:szCs w:val="24"/>
        </w:rPr>
        <w:t xml:space="preserve">беспечение управления, эффективного использования средств, выделенных на реализацию </w:t>
      </w:r>
      <w:r w:rsidR="005C77BD" w:rsidRPr="00867A84">
        <w:rPr>
          <w:rFonts w:ascii="Times New Roman" w:hAnsi="Times New Roman"/>
          <w:sz w:val="24"/>
          <w:szCs w:val="24"/>
        </w:rPr>
        <w:t>муниципальной</w:t>
      </w:r>
      <w:r w:rsidR="00740BA7" w:rsidRPr="00867A84">
        <w:rPr>
          <w:rFonts w:ascii="Times New Roman" w:hAnsi="Times New Roman"/>
          <w:sz w:val="24"/>
          <w:szCs w:val="24"/>
        </w:rPr>
        <w:t xml:space="preserve"> программы</w:t>
      </w:r>
      <w:r w:rsidRPr="00867A84">
        <w:rPr>
          <w:rFonts w:ascii="Times New Roman" w:hAnsi="Times New Roman"/>
          <w:sz w:val="24"/>
          <w:szCs w:val="24"/>
        </w:rPr>
        <w:t>;</w:t>
      </w:r>
    </w:p>
    <w:p w:rsidR="00867A84" w:rsidRDefault="00867A84" w:rsidP="004A266B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е</w:t>
      </w:r>
      <w:r w:rsidR="00740BA7" w:rsidRPr="00867A84">
        <w:rPr>
          <w:rFonts w:ascii="Times New Roman" w:hAnsi="Times New Roman"/>
          <w:sz w:val="24"/>
          <w:szCs w:val="24"/>
        </w:rPr>
        <w:t>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</w:t>
      </w:r>
      <w:r w:rsidRPr="00867A84">
        <w:rPr>
          <w:rFonts w:ascii="Times New Roman" w:hAnsi="Times New Roman"/>
          <w:sz w:val="24"/>
          <w:szCs w:val="24"/>
        </w:rPr>
        <w:t>;</w:t>
      </w:r>
    </w:p>
    <w:p w:rsidR="00867A84" w:rsidRDefault="00867A84" w:rsidP="004A266B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п</w:t>
      </w:r>
      <w:r w:rsidR="00740BA7" w:rsidRPr="00867A84">
        <w:rPr>
          <w:rFonts w:ascii="Times New Roman" w:hAnsi="Times New Roman"/>
          <w:sz w:val="24"/>
          <w:szCs w:val="24"/>
        </w:rPr>
        <w:t xml:space="preserve">ередачу при необходимости части функций по реализации </w:t>
      </w:r>
      <w:r w:rsidR="005C77BD" w:rsidRPr="00867A84">
        <w:rPr>
          <w:rFonts w:ascii="Times New Roman" w:hAnsi="Times New Roman"/>
          <w:sz w:val="24"/>
          <w:szCs w:val="24"/>
        </w:rPr>
        <w:t>муниципальной</w:t>
      </w:r>
      <w:r w:rsidR="00740BA7" w:rsidRPr="00867A84">
        <w:rPr>
          <w:rFonts w:ascii="Times New Roman" w:hAnsi="Times New Roman"/>
          <w:sz w:val="24"/>
          <w:szCs w:val="24"/>
        </w:rPr>
        <w:t xml:space="preserve"> программы </w:t>
      </w:r>
      <w:r w:rsidR="005C77BD" w:rsidRPr="00867A84">
        <w:rPr>
          <w:rFonts w:ascii="Times New Roman" w:hAnsi="Times New Roman"/>
          <w:sz w:val="24"/>
          <w:szCs w:val="24"/>
        </w:rPr>
        <w:t xml:space="preserve">муниципальным </w:t>
      </w:r>
      <w:r w:rsidR="00740BA7" w:rsidRPr="00867A84">
        <w:rPr>
          <w:rFonts w:ascii="Times New Roman" w:hAnsi="Times New Roman"/>
          <w:sz w:val="24"/>
          <w:szCs w:val="24"/>
        </w:rPr>
        <w:t xml:space="preserve">учреждениям </w:t>
      </w:r>
      <w:r w:rsidR="005C77BD" w:rsidRPr="00867A84"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 w:rsidR="005C77BD" w:rsidRPr="00867A84">
        <w:rPr>
          <w:rFonts w:ascii="Times New Roman" w:hAnsi="Times New Roman"/>
          <w:sz w:val="24"/>
          <w:szCs w:val="24"/>
        </w:rPr>
        <w:t>Югорска</w:t>
      </w:r>
      <w:proofErr w:type="spellEnd"/>
      <w:r w:rsidR="00740BA7" w:rsidRPr="00867A84">
        <w:rPr>
          <w:rFonts w:ascii="Times New Roman" w:hAnsi="Times New Roman"/>
          <w:sz w:val="24"/>
          <w:szCs w:val="24"/>
        </w:rPr>
        <w:t xml:space="preserve"> в случае, если эти функции соответствуют уставу (положению) </w:t>
      </w:r>
      <w:r w:rsidR="005C77BD" w:rsidRPr="00867A84">
        <w:rPr>
          <w:rFonts w:ascii="Times New Roman" w:hAnsi="Times New Roman"/>
          <w:sz w:val="24"/>
          <w:szCs w:val="24"/>
        </w:rPr>
        <w:t>муниципального</w:t>
      </w:r>
      <w:r w:rsidR="00740BA7" w:rsidRPr="00867A84">
        <w:rPr>
          <w:rFonts w:ascii="Times New Roman" w:hAnsi="Times New Roman"/>
          <w:sz w:val="24"/>
          <w:szCs w:val="24"/>
        </w:rPr>
        <w:t xml:space="preserve"> учреждения и включены в его </w:t>
      </w:r>
      <w:r w:rsidR="005C77BD" w:rsidRPr="00867A84">
        <w:rPr>
          <w:rFonts w:ascii="Times New Roman" w:hAnsi="Times New Roman"/>
          <w:sz w:val="24"/>
          <w:szCs w:val="24"/>
        </w:rPr>
        <w:t>муниципальное</w:t>
      </w:r>
      <w:r w:rsidR="00740BA7" w:rsidRPr="00867A84">
        <w:rPr>
          <w:rFonts w:ascii="Times New Roman" w:hAnsi="Times New Roman"/>
          <w:sz w:val="24"/>
          <w:szCs w:val="24"/>
        </w:rPr>
        <w:t xml:space="preserve"> задание</w:t>
      </w:r>
      <w:r w:rsidRPr="00867A84">
        <w:rPr>
          <w:rFonts w:ascii="Times New Roman" w:hAnsi="Times New Roman"/>
          <w:sz w:val="24"/>
          <w:szCs w:val="24"/>
        </w:rPr>
        <w:t>;</w:t>
      </w:r>
    </w:p>
    <w:p w:rsidR="00740BA7" w:rsidRPr="00867A84" w:rsidRDefault="00867A84" w:rsidP="004A266B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40BA7" w:rsidRPr="00867A84">
        <w:rPr>
          <w:rFonts w:ascii="Times New Roman" w:hAnsi="Times New Roman"/>
          <w:sz w:val="24"/>
          <w:szCs w:val="24"/>
        </w:rPr>
        <w:t xml:space="preserve">редоставление отчетов о реализации </w:t>
      </w:r>
      <w:r w:rsidR="005C77BD" w:rsidRPr="00867A84">
        <w:rPr>
          <w:rFonts w:ascii="Times New Roman" w:hAnsi="Times New Roman"/>
          <w:sz w:val="24"/>
          <w:szCs w:val="24"/>
        </w:rPr>
        <w:t>муниципальной</w:t>
      </w:r>
      <w:r w:rsidR="00740BA7" w:rsidRPr="00867A84">
        <w:rPr>
          <w:rFonts w:ascii="Times New Roman" w:hAnsi="Times New Roman"/>
          <w:sz w:val="24"/>
          <w:szCs w:val="24"/>
        </w:rPr>
        <w:t xml:space="preserve"> программы, в том числе в состав итогов социально-экономического развития </w:t>
      </w:r>
      <w:r w:rsidR="005C77BD" w:rsidRPr="00867A84"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 w:rsidR="005C77BD" w:rsidRPr="00867A84">
        <w:rPr>
          <w:rFonts w:ascii="Times New Roman" w:hAnsi="Times New Roman"/>
          <w:sz w:val="24"/>
          <w:szCs w:val="24"/>
        </w:rPr>
        <w:t>Югорска</w:t>
      </w:r>
      <w:proofErr w:type="spellEnd"/>
      <w:r w:rsidR="00740BA7" w:rsidRPr="00867A84">
        <w:rPr>
          <w:rFonts w:ascii="Times New Roman" w:hAnsi="Times New Roman"/>
          <w:sz w:val="24"/>
          <w:szCs w:val="24"/>
        </w:rPr>
        <w:t>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Соисполнители </w:t>
      </w:r>
      <w:r w:rsidR="005C77BD" w:rsidRPr="005C77B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 несут ответственность за эффективное и целевое использование средств и с целью координации действий до </w:t>
      </w:r>
      <w:r w:rsidR="005C77BD">
        <w:rPr>
          <w:rFonts w:ascii="Times New Roman" w:eastAsia="Calibri" w:hAnsi="Times New Roman" w:cs="Times New Roman"/>
          <w:sz w:val="24"/>
          <w:szCs w:val="24"/>
        </w:rPr>
        <w:t>5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числа месяца, следующего за отчетным кварталом, представляют ответственному исполнителю </w:t>
      </w:r>
      <w:r w:rsidR="005C77BD" w:rsidRPr="005C77B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 отчет об исполнении мероприятий </w:t>
      </w:r>
      <w:r w:rsidR="00283CE0" w:rsidRPr="00283CE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 по форме, установленной ответственным исполнителем.</w:t>
      </w:r>
    </w:p>
    <w:p w:rsidR="00867A84" w:rsidRDefault="00740BA7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Подведомственные организации ежеквартально, в срок не позднее последнего числа месяца, следующего за отчетным кварталом, представляют ответственному исполнителю </w:t>
      </w:r>
      <w:r w:rsidR="00283CE0" w:rsidRPr="00283CE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 отчет по использованию средств субсидий, выделенных из бюджета автономного округа в соответствии с </w:t>
      </w:r>
      <w:r w:rsidR="00283CE0" w:rsidRPr="00283CE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программой</w:t>
      </w:r>
      <w:r w:rsidR="00867A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0BA7" w:rsidRPr="00867A84" w:rsidRDefault="00867A84" w:rsidP="004A266B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и</w:t>
      </w:r>
      <w:r w:rsidR="00740BA7" w:rsidRPr="00867A84">
        <w:rPr>
          <w:rFonts w:ascii="Times New Roman" w:hAnsi="Times New Roman"/>
          <w:sz w:val="24"/>
          <w:szCs w:val="24"/>
        </w:rPr>
        <w:t>нформирование общественности о ходе и результатах ее реализации, в том числе о механизмах реализации отдельных программных мероприятий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r w:rsidR="00740BA7" w:rsidRPr="00867A84">
        <w:rPr>
          <w:rFonts w:ascii="Times New Roman" w:hAnsi="Times New Roman"/>
          <w:sz w:val="24"/>
          <w:szCs w:val="24"/>
        </w:rPr>
        <w:t>.</w:t>
      </w:r>
      <w:proofErr w:type="gramEnd"/>
    </w:p>
    <w:p w:rsidR="00867A84" w:rsidRDefault="00740BA7" w:rsidP="00867A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2.4. Реализация </w:t>
      </w:r>
      <w:r w:rsidR="00283CE0" w:rsidRPr="00283CE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 осуществляется путем:</w:t>
      </w:r>
    </w:p>
    <w:p w:rsidR="00867A84" w:rsidRDefault="00867A84" w:rsidP="004A266B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з</w:t>
      </w:r>
      <w:r w:rsidR="00740BA7" w:rsidRPr="00867A84">
        <w:rPr>
          <w:rFonts w:ascii="Times New Roman" w:hAnsi="Times New Roman"/>
          <w:sz w:val="24"/>
          <w:szCs w:val="24"/>
        </w:rPr>
        <w:t xml:space="preserve">аключения </w:t>
      </w:r>
      <w:r w:rsidR="00283CE0" w:rsidRPr="00867A84">
        <w:rPr>
          <w:rFonts w:ascii="Times New Roman" w:hAnsi="Times New Roman"/>
          <w:sz w:val="24"/>
          <w:szCs w:val="24"/>
        </w:rPr>
        <w:t>муниципальными</w:t>
      </w:r>
      <w:r w:rsidR="00740BA7" w:rsidRPr="00867A84">
        <w:rPr>
          <w:rFonts w:ascii="Times New Roman" w:hAnsi="Times New Roman"/>
          <w:sz w:val="24"/>
          <w:szCs w:val="24"/>
        </w:rPr>
        <w:t xml:space="preserve"> заказчиками </w:t>
      </w:r>
      <w:r w:rsidR="00283CE0" w:rsidRPr="00867A84">
        <w:rPr>
          <w:rFonts w:ascii="Times New Roman" w:hAnsi="Times New Roman"/>
          <w:sz w:val="24"/>
          <w:szCs w:val="24"/>
        </w:rPr>
        <w:t>муниципальных</w:t>
      </w:r>
      <w:r w:rsidR="00740BA7" w:rsidRPr="00867A84">
        <w:rPr>
          <w:rFonts w:ascii="Times New Roman" w:hAnsi="Times New Roman"/>
          <w:sz w:val="24"/>
          <w:szCs w:val="24"/>
        </w:rPr>
        <w:t xml:space="preserve"> контрактов на приобретение товаров (оказание услуг, выполнение работ) для </w:t>
      </w:r>
      <w:r w:rsidR="00283CE0" w:rsidRPr="00867A84">
        <w:rPr>
          <w:rFonts w:ascii="Times New Roman" w:hAnsi="Times New Roman"/>
          <w:sz w:val="24"/>
          <w:szCs w:val="24"/>
        </w:rPr>
        <w:t>муниципальн</w:t>
      </w:r>
      <w:r w:rsidR="00740BA7" w:rsidRPr="00867A84">
        <w:rPr>
          <w:rFonts w:ascii="Times New Roman" w:hAnsi="Times New Roman"/>
          <w:sz w:val="24"/>
          <w:szCs w:val="24"/>
        </w:rPr>
        <w:t>ых нужд в порядке, установленном законодательством Российской Федерации</w:t>
      </w:r>
      <w:r w:rsidRPr="00867A84">
        <w:rPr>
          <w:rFonts w:ascii="Times New Roman" w:hAnsi="Times New Roman"/>
          <w:sz w:val="24"/>
          <w:szCs w:val="24"/>
        </w:rPr>
        <w:t>;</w:t>
      </w:r>
    </w:p>
    <w:p w:rsidR="00867A84" w:rsidRDefault="00867A84" w:rsidP="004A266B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пр</w:t>
      </w:r>
      <w:r w:rsidR="00740BA7" w:rsidRPr="00867A84">
        <w:rPr>
          <w:rFonts w:ascii="Times New Roman" w:hAnsi="Times New Roman"/>
          <w:sz w:val="24"/>
          <w:szCs w:val="24"/>
        </w:rPr>
        <w:t xml:space="preserve">едоставления </w:t>
      </w:r>
      <w:r w:rsidR="00283CE0" w:rsidRPr="00867A84">
        <w:rPr>
          <w:rFonts w:ascii="Times New Roman" w:hAnsi="Times New Roman"/>
          <w:sz w:val="24"/>
          <w:szCs w:val="24"/>
        </w:rPr>
        <w:t xml:space="preserve">субсидий подведомственным организациям на выполнение муниципальных заданий </w:t>
      </w:r>
      <w:r w:rsidR="00740BA7" w:rsidRPr="00867A84">
        <w:rPr>
          <w:rFonts w:ascii="Times New Roman" w:hAnsi="Times New Roman"/>
          <w:sz w:val="24"/>
          <w:szCs w:val="24"/>
        </w:rPr>
        <w:t xml:space="preserve">из </w:t>
      </w:r>
      <w:r w:rsidR="00283CE0" w:rsidRPr="00867A84">
        <w:rPr>
          <w:rFonts w:ascii="Times New Roman" w:hAnsi="Times New Roman"/>
          <w:sz w:val="24"/>
          <w:szCs w:val="24"/>
        </w:rPr>
        <w:t xml:space="preserve">местного </w:t>
      </w:r>
      <w:r w:rsidR="00740BA7" w:rsidRPr="00867A84">
        <w:rPr>
          <w:rFonts w:ascii="Times New Roman" w:hAnsi="Times New Roman"/>
          <w:sz w:val="24"/>
          <w:szCs w:val="24"/>
        </w:rPr>
        <w:t xml:space="preserve">бюджета в соответствии с законами автономного округа и </w:t>
      </w:r>
      <w:r w:rsidR="00283CE0" w:rsidRPr="00867A84">
        <w:rPr>
          <w:rFonts w:ascii="Times New Roman" w:hAnsi="Times New Roman"/>
          <w:sz w:val="24"/>
          <w:szCs w:val="24"/>
        </w:rPr>
        <w:t xml:space="preserve">муниципальными правовыми актами города </w:t>
      </w:r>
      <w:proofErr w:type="spellStart"/>
      <w:r w:rsidR="00283CE0" w:rsidRPr="00867A8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67A84">
        <w:rPr>
          <w:rFonts w:ascii="Times New Roman" w:hAnsi="Times New Roman"/>
          <w:sz w:val="24"/>
          <w:szCs w:val="24"/>
        </w:rPr>
        <w:t>;</w:t>
      </w:r>
    </w:p>
    <w:p w:rsidR="00867A84" w:rsidRDefault="00867A84" w:rsidP="004A266B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м</w:t>
      </w:r>
      <w:r w:rsidR="00740BA7" w:rsidRPr="00867A84">
        <w:rPr>
          <w:rFonts w:ascii="Times New Roman" w:hAnsi="Times New Roman"/>
          <w:sz w:val="24"/>
          <w:szCs w:val="24"/>
        </w:rPr>
        <w:t xml:space="preserve">ероприятия </w:t>
      </w:r>
      <w:r w:rsidR="00283CE0" w:rsidRPr="00867A84">
        <w:rPr>
          <w:rFonts w:ascii="Times New Roman" w:hAnsi="Times New Roman"/>
          <w:sz w:val="24"/>
          <w:szCs w:val="24"/>
        </w:rPr>
        <w:t>муниципальной</w:t>
      </w:r>
      <w:r w:rsidR="00740BA7" w:rsidRPr="00867A84">
        <w:rPr>
          <w:rFonts w:ascii="Times New Roman" w:hAnsi="Times New Roman"/>
          <w:sz w:val="24"/>
          <w:szCs w:val="24"/>
        </w:rPr>
        <w:t xml:space="preserve"> программы могут реализовываться на конкурсной основе путем выполнения проектов образовательными, научными и иными организациями, учреждениями. Конкурсы проводятся на основании положений, утверждаемых ответственным исполнителем </w:t>
      </w:r>
      <w:r w:rsidR="00205915" w:rsidRPr="00867A84">
        <w:rPr>
          <w:rFonts w:ascii="Times New Roman" w:hAnsi="Times New Roman"/>
          <w:sz w:val="24"/>
          <w:szCs w:val="24"/>
        </w:rPr>
        <w:t>муниципальной</w:t>
      </w:r>
      <w:r w:rsidR="00740BA7" w:rsidRPr="00867A84">
        <w:rPr>
          <w:rFonts w:ascii="Times New Roman" w:hAnsi="Times New Roman"/>
          <w:sz w:val="24"/>
          <w:szCs w:val="24"/>
        </w:rPr>
        <w:t xml:space="preserve"> программы, соисполнителем </w:t>
      </w:r>
      <w:r w:rsidR="00205915" w:rsidRPr="00867A84">
        <w:rPr>
          <w:rFonts w:ascii="Times New Roman" w:hAnsi="Times New Roman"/>
          <w:sz w:val="24"/>
          <w:szCs w:val="24"/>
        </w:rPr>
        <w:t xml:space="preserve">муниципальной </w:t>
      </w:r>
      <w:r w:rsidR="00740BA7" w:rsidRPr="00867A84">
        <w:rPr>
          <w:rFonts w:ascii="Times New Roman" w:hAnsi="Times New Roman"/>
          <w:sz w:val="24"/>
          <w:szCs w:val="24"/>
        </w:rPr>
        <w:t xml:space="preserve">программы, за исключением конкурсов на получение премий, порядок предоставления которых утверждает </w:t>
      </w:r>
      <w:r w:rsidR="00205915" w:rsidRPr="00867A84">
        <w:rPr>
          <w:rFonts w:ascii="Times New Roman" w:hAnsi="Times New Roman"/>
          <w:sz w:val="24"/>
          <w:szCs w:val="24"/>
        </w:rPr>
        <w:t xml:space="preserve">глава города </w:t>
      </w:r>
      <w:proofErr w:type="spellStart"/>
      <w:r w:rsidR="00205915" w:rsidRPr="00867A8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67A84">
        <w:rPr>
          <w:rFonts w:ascii="Times New Roman" w:hAnsi="Times New Roman"/>
          <w:sz w:val="24"/>
          <w:szCs w:val="24"/>
        </w:rPr>
        <w:t>;</w:t>
      </w:r>
    </w:p>
    <w:p w:rsidR="00867A84" w:rsidRDefault="00867A84" w:rsidP="004A266B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п</w:t>
      </w:r>
      <w:r w:rsidR="00740BA7" w:rsidRPr="00867A84">
        <w:rPr>
          <w:rFonts w:ascii="Times New Roman" w:hAnsi="Times New Roman"/>
          <w:sz w:val="24"/>
          <w:szCs w:val="24"/>
        </w:rPr>
        <w:t xml:space="preserve">редоставления субсидий юридическим лицам (за исключением муниципальных учреждений), индивидуальным предпринимателям в порядках, установленных постановлениями </w:t>
      </w:r>
      <w:r w:rsidR="00205915" w:rsidRPr="00867A84">
        <w:rPr>
          <w:rFonts w:ascii="Times New Roman" w:hAnsi="Times New Roman"/>
          <w:sz w:val="24"/>
          <w:szCs w:val="24"/>
        </w:rPr>
        <w:t xml:space="preserve">администрации города </w:t>
      </w:r>
      <w:proofErr w:type="spellStart"/>
      <w:r w:rsidR="00205915" w:rsidRPr="00867A8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67A84">
        <w:rPr>
          <w:rFonts w:ascii="Times New Roman" w:hAnsi="Times New Roman"/>
          <w:sz w:val="24"/>
          <w:szCs w:val="24"/>
        </w:rPr>
        <w:t>;</w:t>
      </w:r>
    </w:p>
    <w:p w:rsidR="00867A84" w:rsidRDefault="00867A84" w:rsidP="004A266B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lastRenderedPageBreak/>
        <w:t>п</w:t>
      </w:r>
      <w:r w:rsidR="00740BA7" w:rsidRPr="00867A84">
        <w:rPr>
          <w:rFonts w:ascii="Times New Roman" w:hAnsi="Times New Roman"/>
          <w:sz w:val="24"/>
          <w:szCs w:val="24"/>
        </w:rPr>
        <w:t xml:space="preserve">ередачи части функций ответственного исполнителя, соисполнителей </w:t>
      </w:r>
      <w:r w:rsidR="00205915" w:rsidRPr="00867A84">
        <w:rPr>
          <w:rFonts w:ascii="Times New Roman" w:hAnsi="Times New Roman"/>
          <w:sz w:val="24"/>
          <w:szCs w:val="24"/>
        </w:rPr>
        <w:t>муниципальной</w:t>
      </w:r>
      <w:r w:rsidR="00740BA7" w:rsidRPr="00867A84">
        <w:rPr>
          <w:rFonts w:ascii="Times New Roman" w:hAnsi="Times New Roman"/>
          <w:sz w:val="24"/>
          <w:szCs w:val="24"/>
        </w:rPr>
        <w:t xml:space="preserve"> программы подведомственным </w:t>
      </w:r>
      <w:r w:rsidR="00205915" w:rsidRPr="00867A84">
        <w:rPr>
          <w:rFonts w:ascii="Times New Roman" w:hAnsi="Times New Roman"/>
          <w:sz w:val="24"/>
          <w:szCs w:val="24"/>
        </w:rPr>
        <w:t>муниципальным</w:t>
      </w:r>
      <w:r w:rsidR="00740BA7" w:rsidRPr="00867A84">
        <w:rPr>
          <w:rFonts w:ascii="Times New Roman" w:hAnsi="Times New Roman"/>
          <w:sz w:val="24"/>
          <w:szCs w:val="24"/>
        </w:rPr>
        <w:t xml:space="preserve"> организациям, учреждениям </w:t>
      </w:r>
      <w:r w:rsidR="00205915" w:rsidRPr="00867A84"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 w:rsidR="00205915" w:rsidRPr="00867A84">
        <w:rPr>
          <w:rFonts w:ascii="Times New Roman" w:hAnsi="Times New Roman"/>
          <w:sz w:val="24"/>
          <w:szCs w:val="24"/>
        </w:rPr>
        <w:t>Югорска</w:t>
      </w:r>
      <w:proofErr w:type="spellEnd"/>
      <w:r w:rsidR="00740BA7" w:rsidRPr="00867A84">
        <w:rPr>
          <w:rFonts w:ascii="Times New Roman" w:hAnsi="Times New Roman"/>
          <w:sz w:val="24"/>
          <w:szCs w:val="24"/>
        </w:rPr>
        <w:t xml:space="preserve"> в соответствии с </w:t>
      </w:r>
      <w:r w:rsidR="00205915" w:rsidRPr="00867A84">
        <w:rPr>
          <w:rFonts w:ascii="Times New Roman" w:hAnsi="Times New Roman"/>
          <w:sz w:val="24"/>
          <w:szCs w:val="24"/>
        </w:rPr>
        <w:t>муниципальным</w:t>
      </w:r>
      <w:r w:rsidR="00740BA7" w:rsidRPr="00867A84">
        <w:rPr>
          <w:rFonts w:ascii="Times New Roman" w:hAnsi="Times New Roman"/>
          <w:sz w:val="24"/>
          <w:szCs w:val="24"/>
        </w:rPr>
        <w:t xml:space="preserve"> заданием на оказание </w:t>
      </w:r>
      <w:r w:rsidR="00205915" w:rsidRPr="00867A84">
        <w:rPr>
          <w:rFonts w:ascii="Times New Roman" w:hAnsi="Times New Roman"/>
          <w:sz w:val="24"/>
          <w:szCs w:val="24"/>
        </w:rPr>
        <w:t>муниципальных</w:t>
      </w:r>
      <w:r w:rsidR="00740BA7" w:rsidRPr="00867A84">
        <w:rPr>
          <w:rFonts w:ascii="Times New Roman" w:hAnsi="Times New Roman"/>
          <w:sz w:val="24"/>
          <w:szCs w:val="24"/>
        </w:rPr>
        <w:t xml:space="preserve"> услуг (выполнение работ), если эти функции соответствуют уставу </w:t>
      </w:r>
      <w:r w:rsidR="00205915" w:rsidRPr="00867A84">
        <w:rPr>
          <w:rFonts w:ascii="Times New Roman" w:hAnsi="Times New Roman"/>
          <w:sz w:val="24"/>
          <w:szCs w:val="24"/>
        </w:rPr>
        <w:t xml:space="preserve">муниципальной </w:t>
      </w:r>
      <w:r w:rsidR="00740BA7" w:rsidRPr="00867A84">
        <w:rPr>
          <w:rFonts w:ascii="Times New Roman" w:hAnsi="Times New Roman"/>
          <w:sz w:val="24"/>
          <w:szCs w:val="24"/>
        </w:rPr>
        <w:t xml:space="preserve">организации, учреждения, а также путем предоставления субсидий на иные цели в порядке, установленном </w:t>
      </w:r>
      <w:r w:rsidR="00026947" w:rsidRPr="00867A84">
        <w:rPr>
          <w:rFonts w:ascii="Times New Roman" w:hAnsi="Times New Roman"/>
          <w:sz w:val="24"/>
          <w:szCs w:val="24"/>
        </w:rPr>
        <w:t xml:space="preserve">муниципальными правовыми актами города </w:t>
      </w:r>
      <w:proofErr w:type="spellStart"/>
      <w:r w:rsidR="00026947" w:rsidRPr="00867A8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67A84">
        <w:rPr>
          <w:rFonts w:ascii="Times New Roman" w:hAnsi="Times New Roman"/>
          <w:sz w:val="24"/>
          <w:szCs w:val="24"/>
        </w:rPr>
        <w:t>;</w:t>
      </w:r>
    </w:p>
    <w:p w:rsidR="00740BA7" w:rsidRPr="00867A84" w:rsidRDefault="00867A84" w:rsidP="004A266B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40BA7" w:rsidRPr="00867A84">
        <w:rPr>
          <w:rFonts w:ascii="Times New Roman" w:hAnsi="Times New Roman"/>
          <w:sz w:val="24"/>
          <w:szCs w:val="24"/>
        </w:rPr>
        <w:t xml:space="preserve">аключения соглашений (договоров) с </w:t>
      </w:r>
      <w:r w:rsidR="00927A6A" w:rsidRPr="00867A84">
        <w:rPr>
          <w:rFonts w:ascii="Times New Roman" w:hAnsi="Times New Roman"/>
          <w:sz w:val="24"/>
          <w:szCs w:val="24"/>
        </w:rPr>
        <w:t>региональными</w:t>
      </w:r>
      <w:r w:rsidR="00740BA7" w:rsidRPr="00867A84">
        <w:rPr>
          <w:rFonts w:ascii="Times New Roman" w:hAnsi="Times New Roman"/>
          <w:sz w:val="24"/>
          <w:szCs w:val="24"/>
        </w:rPr>
        <w:t xml:space="preserve"> органами исполнительной власти</w:t>
      </w:r>
      <w:r w:rsidR="00927A6A" w:rsidRPr="00867A84">
        <w:rPr>
          <w:rFonts w:ascii="Times New Roman" w:hAnsi="Times New Roman"/>
          <w:sz w:val="24"/>
          <w:szCs w:val="24"/>
        </w:rPr>
        <w:t xml:space="preserve"> с </w:t>
      </w:r>
      <w:r w:rsidR="00740BA7" w:rsidRPr="00867A84">
        <w:rPr>
          <w:rFonts w:ascii="Times New Roman" w:hAnsi="Times New Roman"/>
          <w:sz w:val="24"/>
          <w:szCs w:val="24"/>
        </w:rPr>
        <w:t xml:space="preserve">организациями, учреждениями, общественными объединениями о взаимодействии в целях совместной реализации </w:t>
      </w:r>
      <w:r w:rsidR="00927A6A" w:rsidRPr="00867A84">
        <w:rPr>
          <w:rFonts w:ascii="Times New Roman" w:hAnsi="Times New Roman"/>
          <w:sz w:val="24"/>
          <w:szCs w:val="24"/>
        </w:rPr>
        <w:t>муниципальной</w:t>
      </w:r>
      <w:r w:rsidR="00740BA7" w:rsidRPr="00867A84">
        <w:rPr>
          <w:rFonts w:ascii="Times New Roman" w:hAnsi="Times New Roman"/>
          <w:sz w:val="24"/>
          <w:szCs w:val="24"/>
        </w:rPr>
        <w:t xml:space="preserve"> программы в </w:t>
      </w:r>
      <w:r w:rsidR="00927A6A" w:rsidRPr="00867A84">
        <w:rPr>
          <w:rFonts w:ascii="Times New Roman" w:hAnsi="Times New Roman"/>
          <w:sz w:val="24"/>
          <w:szCs w:val="24"/>
        </w:rPr>
        <w:t xml:space="preserve">городе </w:t>
      </w:r>
      <w:proofErr w:type="spellStart"/>
      <w:r w:rsidR="00927A6A" w:rsidRPr="00867A84">
        <w:rPr>
          <w:rFonts w:ascii="Times New Roman" w:hAnsi="Times New Roman"/>
          <w:sz w:val="24"/>
          <w:szCs w:val="24"/>
        </w:rPr>
        <w:t>Югорске</w:t>
      </w:r>
      <w:proofErr w:type="spellEnd"/>
      <w:r w:rsidR="00740BA7" w:rsidRPr="00867A84">
        <w:rPr>
          <w:rFonts w:ascii="Times New Roman" w:hAnsi="Times New Roman"/>
          <w:sz w:val="24"/>
          <w:szCs w:val="24"/>
        </w:rPr>
        <w:t>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В целях эффективного исполнения поручений Президента Российской Федерации, при заключении соглашений (договоров) </w:t>
      </w:r>
      <w:r w:rsidR="00927A6A" w:rsidRPr="00927A6A">
        <w:rPr>
          <w:rFonts w:ascii="Times New Roman" w:eastAsia="Calibri" w:hAnsi="Times New Roman" w:cs="Times New Roman"/>
          <w:sz w:val="24"/>
          <w:szCs w:val="24"/>
        </w:rPr>
        <w:t>с региональными органами исполнительной власти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, органами исполнительной власти </w:t>
      </w:r>
      <w:r w:rsidR="00927A6A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proofErr w:type="spellStart"/>
      <w:r w:rsidR="00927A6A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субсидии в целях </w:t>
      </w:r>
      <w:proofErr w:type="spellStart"/>
      <w:r w:rsidRPr="005717DE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расходных обязательств муниципального образования, связанных с обеспечением реализации мероприятий </w:t>
      </w:r>
      <w:r w:rsidR="00FD6F8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программы, </w:t>
      </w:r>
      <w:r w:rsidR="00867A84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F8A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proofErr w:type="spellStart"/>
      <w:r w:rsidR="00FD6F8A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5717D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67A84" w:rsidRDefault="00740BA7" w:rsidP="004A266B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планируют средства на реализацию таких мероприятий при формировании бюджета на очередной финансовый период;</w:t>
      </w:r>
    </w:p>
    <w:p w:rsidR="00740BA7" w:rsidRPr="00867A84" w:rsidRDefault="00740BA7" w:rsidP="004A266B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 xml:space="preserve">предоставляют основному исполнителю </w:t>
      </w:r>
      <w:r w:rsidR="00FD6F8A" w:rsidRPr="00867A84">
        <w:rPr>
          <w:rFonts w:ascii="Times New Roman" w:hAnsi="Times New Roman"/>
          <w:sz w:val="24"/>
          <w:szCs w:val="24"/>
        </w:rPr>
        <w:t>государственной</w:t>
      </w:r>
      <w:r w:rsidRPr="00867A84">
        <w:rPr>
          <w:rFonts w:ascii="Times New Roman" w:hAnsi="Times New Roman"/>
          <w:sz w:val="24"/>
          <w:szCs w:val="24"/>
        </w:rPr>
        <w:t xml:space="preserve"> программы выписку из сводной бюджетной росписи </w:t>
      </w:r>
      <w:r w:rsidR="00203510">
        <w:rPr>
          <w:rFonts w:ascii="Times New Roman" w:hAnsi="Times New Roman"/>
          <w:sz w:val="24"/>
          <w:szCs w:val="24"/>
        </w:rPr>
        <w:t>местного</w:t>
      </w:r>
      <w:r w:rsidR="00867A84">
        <w:rPr>
          <w:rFonts w:ascii="Times New Roman" w:hAnsi="Times New Roman"/>
          <w:sz w:val="24"/>
          <w:szCs w:val="24"/>
        </w:rPr>
        <w:t xml:space="preserve"> </w:t>
      </w:r>
      <w:r w:rsidRPr="00867A84">
        <w:rPr>
          <w:rFonts w:ascii="Times New Roman" w:hAnsi="Times New Roman"/>
          <w:sz w:val="24"/>
          <w:szCs w:val="24"/>
        </w:rPr>
        <w:t xml:space="preserve">бюджета, подтверждающую наличие в </w:t>
      </w:r>
      <w:r w:rsidR="00203510">
        <w:rPr>
          <w:rFonts w:ascii="Times New Roman" w:hAnsi="Times New Roman"/>
          <w:sz w:val="24"/>
          <w:szCs w:val="24"/>
        </w:rPr>
        <w:t>местном</w:t>
      </w:r>
      <w:r w:rsidRPr="00867A84">
        <w:rPr>
          <w:rFonts w:ascii="Times New Roman" w:hAnsi="Times New Roman"/>
          <w:sz w:val="24"/>
          <w:szCs w:val="24"/>
        </w:rPr>
        <w:t xml:space="preserve"> бюджете бюджетных ассигнований на исполнение расходных обязательств.</w:t>
      </w:r>
    </w:p>
    <w:p w:rsidR="00740BA7" w:rsidRPr="005717DE" w:rsidRDefault="00740BA7" w:rsidP="004A266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В свою очередь основной исполнитель государственной программы своевременно извещает органы </w:t>
      </w:r>
      <w:r w:rsidR="00203510">
        <w:rPr>
          <w:rFonts w:ascii="Times New Roman" w:eastAsia="Calibri" w:hAnsi="Times New Roman" w:cs="Times New Roman"/>
          <w:sz w:val="24"/>
          <w:szCs w:val="24"/>
        </w:rPr>
        <w:t xml:space="preserve">администрацию города </w:t>
      </w:r>
      <w:proofErr w:type="spellStart"/>
      <w:r w:rsidR="00203510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о мероприятиях государственной программы, предполагающих </w:t>
      </w:r>
      <w:proofErr w:type="spellStart"/>
      <w:r w:rsidRPr="005717DE">
        <w:rPr>
          <w:rFonts w:ascii="Times New Roman" w:eastAsia="Calibri" w:hAnsi="Times New Roman" w:cs="Times New Roman"/>
          <w:sz w:val="24"/>
          <w:szCs w:val="24"/>
        </w:rPr>
        <w:t>софинансирование</w:t>
      </w:r>
      <w:proofErr w:type="spellEnd"/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за счет средств бюджета автономного округа, предоставляемых в форме субсидий местным бюджетам на исполнение поручений Президента Российской Федерации, мероприятий государственной программы.</w:t>
      </w:r>
    </w:p>
    <w:p w:rsidR="00740BA7" w:rsidRPr="005717DE" w:rsidRDefault="00740BA7" w:rsidP="004A266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В случае поступления поручений после утверждения местного бюджета </w:t>
      </w:r>
      <w:r w:rsidR="00203510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proofErr w:type="spellStart"/>
      <w:r w:rsidR="00203510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готовность органов местного самоуправления принять участие в реализации мероприятия подтверждается гарантийным письмом с указанием сроков внесения изменений в нормативные правовые акты </w:t>
      </w:r>
      <w:r w:rsidR="00FD6F8A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proofErr w:type="spellStart"/>
      <w:r w:rsidR="00FD6F8A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="002035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0BA7" w:rsidRPr="00203510" w:rsidRDefault="00203510" w:rsidP="004A266B">
      <w:pPr>
        <w:pStyle w:val="a8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510">
        <w:rPr>
          <w:rFonts w:ascii="Times New Roman" w:hAnsi="Times New Roman"/>
          <w:sz w:val="24"/>
          <w:szCs w:val="24"/>
        </w:rPr>
        <w:t>п</w:t>
      </w:r>
      <w:r w:rsidR="00740BA7" w:rsidRPr="00203510">
        <w:rPr>
          <w:rFonts w:ascii="Times New Roman" w:hAnsi="Times New Roman"/>
          <w:sz w:val="24"/>
          <w:szCs w:val="24"/>
        </w:rPr>
        <w:t xml:space="preserve">ремий по итогам конкурсов, проводимых </w:t>
      </w:r>
      <w:r w:rsidR="00FD6F8A" w:rsidRPr="00203510">
        <w:rPr>
          <w:rFonts w:ascii="Times New Roman" w:hAnsi="Times New Roman"/>
          <w:sz w:val="24"/>
          <w:szCs w:val="24"/>
        </w:rPr>
        <w:t>Управлением образования</w:t>
      </w:r>
      <w:r w:rsidR="00740BA7" w:rsidRPr="00203510">
        <w:rPr>
          <w:rFonts w:ascii="Times New Roman" w:hAnsi="Times New Roman"/>
          <w:sz w:val="24"/>
          <w:szCs w:val="24"/>
        </w:rPr>
        <w:t xml:space="preserve">, в порядке согласно </w:t>
      </w:r>
      <w:r w:rsidR="00FD6F8A" w:rsidRPr="00203510">
        <w:rPr>
          <w:rFonts w:ascii="Times New Roman" w:hAnsi="Times New Roman"/>
          <w:sz w:val="24"/>
          <w:szCs w:val="24"/>
        </w:rPr>
        <w:t xml:space="preserve">постановлениям главы города </w:t>
      </w:r>
      <w:proofErr w:type="spellStart"/>
      <w:r w:rsidR="00FD6F8A" w:rsidRPr="00203510">
        <w:rPr>
          <w:rFonts w:ascii="Times New Roman" w:hAnsi="Times New Roman"/>
          <w:sz w:val="24"/>
          <w:szCs w:val="24"/>
        </w:rPr>
        <w:t>Югорска</w:t>
      </w:r>
      <w:proofErr w:type="spellEnd"/>
      <w:r w:rsidR="00740BA7" w:rsidRPr="00203510">
        <w:rPr>
          <w:rFonts w:ascii="Times New Roman" w:hAnsi="Times New Roman"/>
          <w:sz w:val="24"/>
          <w:szCs w:val="24"/>
        </w:rPr>
        <w:t>.</w:t>
      </w:r>
    </w:p>
    <w:p w:rsidR="00203510" w:rsidRDefault="00203510" w:rsidP="004A266B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510">
        <w:rPr>
          <w:rFonts w:ascii="Times New Roman" w:hAnsi="Times New Roman"/>
          <w:sz w:val="24"/>
          <w:szCs w:val="24"/>
        </w:rPr>
        <w:t>р</w:t>
      </w:r>
      <w:r w:rsidR="00740BA7" w:rsidRPr="00203510">
        <w:rPr>
          <w:rFonts w:ascii="Times New Roman" w:hAnsi="Times New Roman"/>
          <w:sz w:val="24"/>
          <w:szCs w:val="24"/>
        </w:rPr>
        <w:t xml:space="preserve">еализация мероприятий </w:t>
      </w:r>
      <w:r w:rsidR="009C7729" w:rsidRPr="00203510">
        <w:rPr>
          <w:rFonts w:ascii="Times New Roman" w:hAnsi="Times New Roman"/>
          <w:sz w:val="24"/>
          <w:szCs w:val="24"/>
        </w:rPr>
        <w:t>муниципальной</w:t>
      </w:r>
      <w:r w:rsidR="00740BA7" w:rsidRPr="00203510">
        <w:rPr>
          <w:rFonts w:ascii="Times New Roman" w:hAnsi="Times New Roman"/>
          <w:sz w:val="24"/>
          <w:szCs w:val="24"/>
        </w:rPr>
        <w:t xml:space="preserve"> программы осуществляется с учетом технологий «Бережливого производства» путем повышения прозрачности и открытости деятельности в ходе реализации </w:t>
      </w:r>
      <w:r w:rsidR="009C7729" w:rsidRPr="00203510">
        <w:rPr>
          <w:rFonts w:ascii="Times New Roman" w:hAnsi="Times New Roman"/>
          <w:sz w:val="24"/>
          <w:szCs w:val="24"/>
        </w:rPr>
        <w:t>муниципальной</w:t>
      </w:r>
      <w:r w:rsidR="00740BA7" w:rsidRPr="00203510">
        <w:rPr>
          <w:rFonts w:ascii="Times New Roman" w:hAnsi="Times New Roman"/>
          <w:sz w:val="24"/>
          <w:szCs w:val="24"/>
        </w:rPr>
        <w:t xml:space="preserve"> программы, устранения административных барьеров, уменьшения временных потерь, снижения излишней бюрократической нагрузки на педагогических работников, разработки автоматизированных информационных систем, позволяющих снизить количество запрашиваемой информации</w:t>
      </w:r>
      <w:r w:rsidRPr="00203510">
        <w:rPr>
          <w:rFonts w:ascii="Times New Roman" w:hAnsi="Times New Roman"/>
          <w:sz w:val="24"/>
          <w:szCs w:val="24"/>
        </w:rPr>
        <w:t>;</w:t>
      </w:r>
    </w:p>
    <w:p w:rsidR="008F056F" w:rsidRDefault="00203510" w:rsidP="004A266B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510">
        <w:rPr>
          <w:rFonts w:ascii="Times New Roman" w:hAnsi="Times New Roman"/>
          <w:sz w:val="24"/>
          <w:szCs w:val="24"/>
        </w:rPr>
        <w:t>о</w:t>
      </w:r>
      <w:r w:rsidR="00740BA7" w:rsidRPr="00203510">
        <w:rPr>
          <w:rFonts w:ascii="Times New Roman" w:hAnsi="Times New Roman"/>
          <w:sz w:val="24"/>
          <w:szCs w:val="24"/>
        </w:rPr>
        <w:t xml:space="preserve">дним из основных механизмов реализации </w:t>
      </w:r>
      <w:r w:rsidR="00F37695" w:rsidRPr="00203510">
        <w:rPr>
          <w:rFonts w:ascii="Times New Roman" w:hAnsi="Times New Roman"/>
          <w:sz w:val="24"/>
          <w:szCs w:val="24"/>
        </w:rPr>
        <w:t>муниципальной</w:t>
      </w:r>
      <w:r w:rsidR="00740BA7" w:rsidRPr="00203510">
        <w:rPr>
          <w:rFonts w:ascii="Times New Roman" w:hAnsi="Times New Roman"/>
          <w:sz w:val="24"/>
          <w:szCs w:val="24"/>
        </w:rPr>
        <w:t xml:space="preserve"> программы становится проектное управление (</w:t>
      </w:r>
      <w:r w:rsidR="00F37695" w:rsidRPr="00203510">
        <w:rPr>
          <w:rFonts w:ascii="Times New Roman" w:hAnsi="Times New Roman"/>
          <w:sz w:val="24"/>
          <w:szCs w:val="24"/>
        </w:rPr>
        <w:t xml:space="preserve">постановление администрации города </w:t>
      </w:r>
      <w:proofErr w:type="spellStart"/>
      <w:r w:rsidR="00F37695" w:rsidRPr="00203510">
        <w:rPr>
          <w:rFonts w:ascii="Times New Roman" w:hAnsi="Times New Roman"/>
          <w:sz w:val="24"/>
          <w:szCs w:val="24"/>
        </w:rPr>
        <w:t>Югорска</w:t>
      </w:r>
      <w:proofErr w:type="spellEnd"/>
      <w:r w:rsidR="00F37695" w:rsidRPr="00203510">
        <w:rPr>
          <w:rFonts w:ascii="Times New Roman" w:hAnsi="Times New Roman"/>
          <w:sz w:val="24"/>
          <w:szCs w:val="24"/>
        </w:rPr>
        <w:t xml:space="preserve"> от 30.11.2016 № 3034«О системе управления проектной деятельностью в администрации города </w:t>
      </w:r>
      <w:proofErr w:type="spellStart"/>
      <w:r w:rsidR="00F37695" w:rsidRPr="00203510">
        <w:rPr>
          <w:rFonts w:ascii="Times New Roman" w:hAnsi="Times New Roman"/>
          <w:sz w:val="24"/>
          <w:szCs w:val="24"/>
        </w:rPr>
        <w:t>Югорска</w:t>
      </w:r>
      <w:proofErr w:type="spellEnd"/>
      <w:r w:rsidR="00F37695" w:rsidRPr="00203510">
        <w:rPr>
          <w:rFonts w:ascii="Times New Roman" w:hAnsi="Times New Roman"/>
          <w:sz w:val="24"/>
          <w:szCs w:val="24"/>
        </w:rPr>
        <w:t xml:space="preserve">»), </w:t>
      </w:r>
      <w:r w:rsidR="00740BA7" w:rsidRPr="00203510">
        <w:rPr>
          <w:rFonts w:ascii="Times New Roman" w:hAnsi="Times New Roman"/>
          <w:sz w:val="24"/>
          <w:szCs w:val="24"/>
        </w:rPr>
        <w:t>что позволит обеспечить своевременное достижение запланированных результатов, повысить эффективность использования ресурсов, обеспечить прозрачность, обоснованность и своевременность принимаемых решений, повысить эффективность внутриведомственного, межведомственного и межуровневого взаимодействия</w:t>
      </w:r>
      <w:r w:rsidRPr="00203510">
        <w:rPr>
          <w:rFonts w:ascii="Times New Roman" w:hAnsi="Times New Roman"/>
          <w:sz w:val="24"/>
          <w:szCs w:val="24"/>
        </w:rPr>
        <w:t>;</w:t>
      </w:r>
      <w:proofErr w:type="gramEnd"/>
    </w:p>
    <w:p w:rsidR="00740BA7" w:rsidRPr="00203510" w:rsidRDefault="004A266B" w:rsidP="004A266B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40BA7" w:rsidRPr="00203510">
        <w:rPr>
          <w:rFonts w:ascii="Times New Roman" w:hAnsi="Times New Roman"/>
          <w:sz w:val="24"/>
          <w:szCs w:val="24"/>
        </w:rPr>
        <w:t xml:space="preserve">ценка хода исполнения программных мероприятий основана на мониторинге ожидаемых результатов ее реализации путем </w:t>
      </w:r>
      <w:proofErr w:type="gramStart"/>
      <w:r w:rsidR="00740BA7" w:rsidRPr="00203510">
        <w:rPr>
          <w:rFonts w:ascii="Times New Roman" w:hAnsi="Times New Roman"/>
          <w:sz w:val="24"/>
          <w:szCs w:val="24"/>
        </w:rPr>
        <w:t>сопоставления</w:t>
      </w:r>
      <w:proofErr w:type="gramEnd"/>
      <w:r w:rsidR="00740BA7" w:rsidRPr="00203510">
        <w:rPr>
          <w:rFonts w:ascii="Times New Roman" w:hAnsi="Times New Roman"/>
          <w:sz w:val="24"/>
          <w:szCs w:val="24"/>
        </w:rPr>
        <w:t xml:space="preserve"> фактически достигнутых и целевых значений показателей, а также на результатах социологических исследований. В соответствии с данными мониторинга по фактически достигнутым результатам реализации, по результатам социологических исследований в </w:t>
      </w:r>
      <w:r w:rsidR="00F37695" w:rsidRPr="00203510">
        <w:rPr>
          <w:rFonts w:ascii="Times New Roman" w:hAnsi="Times New Roman"/>
          <w:sz w:val="24"/>
          <w:szCs w:val="24"/>
        </w:rPr>
        <w:t>муниципальн</w:t>
      </w:r>
      <w:r w:rsidR="00740BA7" w:rsidRPr="00203510">
        <w:rPr>
          <w:rFonts w:ascii="Times New Roman" w:hAnsi="Times New Roman"/>
          <w:sz w:val="24"/>
          <w:szCs w:val="24"/>
        </w:rPr>
        <w:t>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181218" w:rsidRDefault="00181218" w:rsidP="0074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1218" w:rsidSect="004A266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181218" w:rsidRDefault="00181218" w:rsidP="001812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181218" w:rsidRDefault="00181218" w:rsidP="001812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18" w:rsidRDefault="00181218" w:rsidP="00181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:rsidR="00181218" w:rsidRDefault="00181218" w:rsidP="00181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2"/>
        <w:gridCol w:w="4259"/>
        <w:gridCol w:w="709"/>
        <w:gridCol w:w="1849"/>
        <w:gridCol w:w="703"/>
        <w:gridCol w:w="709"/>
        <w:gridCol w:w="709"/>
        <w:gridCol w:w="709"/>
        <w:gridCol w:w="708"/>
        <w:gridCol w:w="709"/>
        <w:gridCol w:w="710"/>
        <w:gridCol w:w="711"/>
        <w:gridCol w:w="2264"/>
      </w:tblGrid>
      <w:tr w:rsidR="00181218" w:rsidRPr="00181218" w:rsidTr="004A266B">
        <w:trPr>
          <w:trHeight w:val="30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целевого показателя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целевых показателей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показателя по годам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181218" w:rsidRPr="00181218" w:rsidTr="004A266B">
        <w:trPr>
          <w:trHeight w:val="84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218" w:rsidRPr="00181218" w:rsidTr="004A266B">
        <w:trPr>
          <w:trHeight w:val="32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181218" w:rsidRPr="00181218" w:rsidTr="004A266B">
        <w:trPr>
          <w:trHeight w:val="82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18" w:rsidRPr="00181218" w:rsidRDefault="00181218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административно-управленческого и педагогического персонала общеобразовательных организаций, прошедших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</w:t>
            </w: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не менее 33 процентов</w:t>
            </w:r>
          </w:p>
        </w:tc>
      </w:tr>
      <w:tr w:rsidR="00181218" w:rsidRPr="00181218" w:rsidTr="004A266B">
        <w:trPr>
          <w:trHeight w:val="5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218" w:rsidRPr="00181218" w:rsidRDefault="00181218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очереди на получение в текущем году дошкольного образования </w:t>
            </w: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81218" w:rsidRPr="00181218" w:rsidTr="004A266B">
        <w:trPr>
          <w:trHeight w:val="41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81218" w:rsidRDefault="00181218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детей дошкольного возраста местами в дошкольных образовательных организациях (количество мест на 1000 детей)</w:t>
            </w: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845,3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845,3</w:t>
            </w:r>
          </w:p>
        </w:tc>
      </w:tr>
      <w:tr w:rsidR="00181218" w:rsidRPr="00181218" w:rsidTr="004A266B">
        <w:trPr>
          <w:trHeight w:val="7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81218" w:rsidRDefault="00181218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среднего балла единого государственного экзамена (в расчете на 1 предмет) в 10 % школ с лучшими результатами единого государственного экзамена к среднему баллу единого государственного экзамена (в расчете на 1 предмет) в 10 % школ с худшими результатами единого государственного экзамена</w:t>
            </w:r>
            <w:proofErr w:type="gramStart"/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</w:tr>
      <w:tr w:rsidR="00181218" w:rsidRPr="00181218" w:rsidTr="004A266B">
        <w:trPr>
          <w:trHeight w:val="7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81218" w:rsidRDefault="00181218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 </w:t>
            </w: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181218" w:rsidRPr="00181218" w:rsidTr="004A266B">
        <w:trPr>
          <w:trHeight w:val="7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81218" w:rsidRDefault="00181218" w:rsidP="00C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государственных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  <w:proofErr w:type="gramStart"/>
            <w:r w:rsidR="00C36D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81218" w:rsidRPr="00181218" w:rsidTr="004A266B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81218" w:rsidRDefault="00181218" w:rsidP="00C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proofErr w:type="gramStart"/>
            <w:r w:rsidR="00C36D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81218" w:rsidRPr="00181218" w:rsidTr="004A266B">
        <w:trPr>
          <w:trHeight w:val="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218" w:rsidRPr="00181218" w:rsidRDefault="00181218" w:rsidP="00C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негосударственных, в том числе некоммерческих, организаций, предоставляющих услуги в сфере образования, в общем числе организаций, предоставляющих услуги в сфере образования</w:t>
            </w:r>
            <w:r w:rsidR="00C36D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</w:tr>
      <w:tr w:rsidR="00181218" w:rsidRPr="00181218" w:rsidTr="004A266B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81218" w:rsidRDefault="00181218" w:rsidP="00C3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</w:t>
            </w:r>
            <w:r w:rsidR="00C36D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81218" w:rsidRPr="00181218" w:rsidTr="004A266B">
        <w:trPr>
          <w:trHeight w:val="43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18" w:rsidRPr="00181218" w:rsidRDefault="00181218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18" w:rsidRPr="00C36DF3" w:rsidRDefault="00181218" w:rsidP="0018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сданных в эксплуатацию новых объектов, предназначенных для размещения образовательных организаций</w:t>
            </w:r>
            <w:proofErr w:type="gramStart"/>
            <w:r w:rsidR="00C36D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</w:tr>
    </w:tbl>
    <w:p w:rsidR="00005BEF" w:rsidRDefault="00005BEF" w:rsidP="00005BEF">
      <w:pPr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C36DF3" w:rsidRPr="00C36DF3" w:rsidRDefault="00C36DF3" w:rsidP="00C36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C36DF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C36DF3" w:rsidRPr="00C36DF3" w:rsidRDefault="00C36DF3" w:rsidP="00C36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36D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C36DF3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36DF3">
        <w:rPr>
          <w:rFonts w:ascii="Times New Roman" w:eastAsia="Times New Roman" w:hAnsi="Times New Roman" w:cs="Times New Roman"/>
          <w:sz w:val="20"/>
          <w:szCs w:val="28"/>
          <w:lang w:eastAsia="ru-RU"/>
        </w:rPr>
        <w:t>едеральный проект «Современная школа».</w:t>
      </w:r>
    </w:p>
    <w:p w:rsidR="00C36DF3" w:rsidRPr="00C36DF3" w:rsidRDefault="00C36DF3" w:rsidP="00C36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>3</w:t>
      </w:r>
      <w:proofErr w:type="gramStart"/>
      <w:r w:rsidRPr="00C36DF3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</w:t>
      </w:r>
      <w:r w:rsidRPr="00C36DF3">
        <w:rPr>
          <w:rFonts w:ascii="Times New Roman" w:eastAsia="Times New Roman" w:hAnsi="Times New Roman" w:cs="Times New Roman"/>
          <w:sz w:val="20"/>
          <w:szCs w:val="28"/>
          <w:lang w:eastAsia="ru-RU"/>
        </w:rPr>
        <w:t>В</w:t>
      </w:r>
      <w:proofErr w:type="gramEnd"/>
      <w:r w:rsidRPr="00C36DF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соответствии с письмом Минэкономразвития России от 26 декабря 2016 года № 40081-ОФ/ДО1и, Департамента экономического развития автономного округа № 22-исх-1501 от 7 февраля 2017 года.</w:t>
      </w:r>
    </w:p>
    <w:p w:rsidR="00181218" w:rsidRDefault="00181218" w:rsidP="00661FD6">
      <w:pPr>
        <w:autoSpaceDE w:val="0"/>
        <w:autoSpaceDN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05BEF" w:rsidRDefault="00005BEF" w:rsidP="00661FD6">
      <w:pPr>
        <w:autoSpaceDE w:val="0"/>
        <w:autoSpaceDN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81218" w:rsidRDefault="00181218" w:rsidP="00005BEF">
      <w:pPr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B6BDD" w:rsidRDefault="005B6BDD" w:rsidP="005B6B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5B6BDD" w:rsidRDefault="005B6BDD" w:rsidP="005B6B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DD" w:rsidRDefault="005B6BDD" w:rsidP="005B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6BDD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муниципальной программы </w:t>
      </w:r>
    </w:p>
    <w:p w:rsidR="004A266B" w:rsidRPr="005B6BDD" w:rsidRDefault="004A266B" w:rsidP="005B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6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1701"/>
        <w:gridCol w:w="1358"/>
        <w:gridCol w:w="1641"/>
        <w:gridCol w:w="11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4B372D" w:rsidRPr="004B372D" w:rsidTr="004B372D">
        <w:trPr>
          <w:trHeight w:val="129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6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дошкольного и общего образования  (показатели 1, 2, 3, 4, 5, 7, 8, 9)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(далее - УО)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17140183,6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1408370,6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1416365,2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1420734,7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1415068,8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1420876,4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1426916,4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1433197,9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7198653,6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13394287,8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1120291,0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1125022,6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1125022,6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1113772,4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1113772,4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1113772,4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1113772,4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5568862,0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1877160,0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780525,0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1868735,8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129074,6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134237,6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139607,1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145191,4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150999,0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157039,0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163320,5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849266,6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</w:t>
            </w: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интересов и способностей (показатели 5, 8, 9)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619498,7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51491,2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51575,2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51594,2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51614,7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51635,6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51657,4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258399,2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613094,4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51091,2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51091,2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51091,2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51091,2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51091,2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51091,2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51091,2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255456,0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2943,2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 (показатели 1, 4)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2944,0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2944,0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оценки качества образования (показатель 4)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открытости муниципальной системы образования (показатели 3, 5, 8, 9)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и организационно-методическое </w:t>
            </w: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функционирования и модернизации муниципальной системы образования (показатели 2, 5, 8, 9)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1390338,2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116481,6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115747,4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115747,4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115747,4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115747,4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578737,0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378321,6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31447,4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31447,4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31447,4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31447,4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157237,0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1012016,6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84716,6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421500,0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комплексной безопасности образовательных учреждений  (показатели 6, 7)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51653,5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30753,5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51653,5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30753,5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материально-технической базы образовательных учреждений (показатели 6, 7)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41584,1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18958,4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38657,6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17458,4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 (реконструкция), приобретение объектов, предназначенных для размещения муниципальных образовательных учреждений (показатель 10)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ДМС и 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912104,0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851739,9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912104,0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851739,9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капитальных ремонтов зданий, сооружений, предназначенных для размещения муниципальных образовательных учреждений (показатели 6, 7)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ДЖК и СК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20206161,1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1614499,0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1599423,6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1604113,0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1599542,2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1607731,0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1613916,0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1629204,2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8937732,1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13772609,4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1152056,0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1156787,6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1156787,6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1145219,8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1145219,8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1145219,8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1145219,8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5726099,0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4519754,0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330155,0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305116,9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304364,4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305643,3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307884,6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307884,6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316740,3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2341964,9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1913797,7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132288,0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137519,1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142961,0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148679,1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154626,6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160811,6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167244,1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869668,2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912104,0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851739,9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912104,0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851739,9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Проекты, портфели проектов  (в том числе направленные на реализацию национальных и федеральных проектов </w:t>
            </w: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и ХМАО-Югры, муниципальных проектов  реализуемых в составе муниципальной программы):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1187705,1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195965,5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187064,5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195522,5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207974,8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200516,4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200661,4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777890,7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120182,8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125031,1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133169,2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133169,2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133169,2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133169,2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389077,7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72569,3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58751,9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58999,4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71317,9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63719,6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63719,6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41668,8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41668,8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870435,2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851739,9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870435,2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851739,9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исполнитель: Управление образования </w:t>
            </w: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администрации города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Югорска</w:t>
            </w:r>
            <w:proofErr w:type="spellEnd"/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19294057,1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1614499,0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1592351,7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1596793,6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1591943,9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1597891,4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1604076,4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1610508,9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8085992,2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13772609,4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1152056,0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1156787,6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1156787,6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1145219,8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1145219,8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1145219,8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1145219,8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5726099,0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3607650,0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330155,0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297045,0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1490225,0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1913797,7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132288,0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137519,1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142961,0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148679,1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154626,6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160811,6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167244,1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869668,2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Соисполнитель: Департамент муниципальной собственности и градостроительства администрации города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Югорска</w:t>
            </w:r>
            <w:proofErr w:type="spellEnd"/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912104,0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851739,9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912104,0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851739,9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Соисполнитель: Департамент жилищно-коммунального и строительного комплекса администрации города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Югорска</w:t>
            </w:r>
            <w:proofErr w:type="spellEnd"/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Соисполнитель: Управление культуры администрации города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Югорска</w:t>
            </w:r>
            <w:proofErr w:type="spellEnd"/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Соисполнитель: Управление социальной политики администрации </w:t>
            </w: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города </w:t>
            </w:r>
            <w:proofErr w:type="spellStart"/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Югорска</w:t>
            </w:r>
            <w:proofErr w:type="spellEnd"/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72D" w:rsidRPr="004B372D" w:rsidTr="004B372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2D" w:rsidRPr="004B372D" w:rsidRDefault="004B372D" w:rsidP="004B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181218" w:rsidRDefault="00181218" w:rsidP="004B372D">
      <w:pPr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6BDD" w:rsidRDefault="005B6BDD" w:rsidP="004B372D">
      <w:pPr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F30FD" w:rsidRPr="008F30FD" w:rsidRDefault="008F30FD" w:rsidP="008F30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30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3 </w:t>
      </w:r>
    </w:p>
    <w:p w:rsidR="008F30FD" w:rsidRPr="008F30FD" w:rsidRDefault="008F30FD" w:rsidP="008F30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30FD" w:rsidRPr="008F30FD" w:rsidRDefault="008F30FD" w:rsidP="008F30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30FD">
        <w:rPr>
          <w:rFonts w:ascii="Times New Roman" w:eastAsia="Calibri" w:hAnsi="Times New Roman" w:cs="Times New Roman"/>
          <w:sz w:val="24"/>
          <w:szCs w:val="24"/>
        </w:rPr>
        <w:t xml:space="preserve">Портфели проектов и проекты, </w:t>
      </w:r>
      <w:proofErr w:type="gramStart"/>
      <w:r w:rsidRPr="008F30FD">
        <w:rPr>
          <w:rFonts w:ascii="Times New Roman" w:eastAsia="Calibri" w:hAnsi="Times New Roman" w:cs="Times New Roman"/>
          <w:sz w:val="24"/>
          <w:szCs w:val="24"/>
        </w:rPr>
        <w:t>направленные</w:t>
      </w:r>
      <w:proofErr w:type="gramEnd"/>
      <w:r w:rsidRPr="008F30FD">
        <w:rPr>
          <w:rFonts w:ascii="Times New Roman" w:eastAsia="Calibri" w:hAnsi="Times New Roman" w:cs="Times New Roman"/>
          <w:sz w:val="24"/>
          <w:szCs w:val="24"/>
        </w:rPr>
        <w:t xml:space="preserve"> в том числе на реализацию национальных </w:t>
      </w:r>
    </w:p>
    <w:p w:rsidR="008F30FD" w:rsidRDefault="008F30FD" w:rsidP="008F30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FD">
        <w:rPr>
          <w:rFonts w:ascii="Times New Roman" w:eastAsia="Calibri" w:hAnsi="Times New Roman" w:cs="Times New Roman"/>
          <w:sz w:val="24"/>
          <w:szCs w:val="24"/>
        </w:rPr>
        <w:t xml:space="preserve">и федеральных проектов Российской Федерации и Ханты-Мансийского автономного округа – Югры, </w:t>
      </w:r>
      <w:r w:rsidRPr="008F30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проектов</w:t>
      </w:r>
    </w:p>
    <w:p w:rsidR="009F4652" w:rsidRDefault="009F4652" w:rsidP="008F30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552"/>
        <w:gridCol w:w="1238"/>
        <w:gridCol w:w="1134"/>
        <w:gridCol w:w="2478"/>
        <w:gridCol w:w="788"/>
        <w:gridCol w:w="1763"/>
        <w:gridCol w:w="975"/>
        <w:gridCol w:w="866"/>
        <w:gridCol w:w="866"/>
        <w:gridCol w:w="866"/>
        <w:gridCol w:w="866"/>
        <w:gridCol w:w="866"/>
        <w:gridCol w:w="966"/>
      </w:tblGrid>
      <w:tr w:rsidR="009F4652" w:rsidRPr="000E1ADE" w:rsidTr="00F42971">
        <w:trPr>
          <w:trHeight w:val="79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портфеля проектов, проекта</w:t>
            </w: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&lt;1&gt;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проекта или мероприятия</w:t>
            </w: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&lt;2&gt;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основного мероприятия</w:t>
            </w: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&lt;3&gt;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</w:t>
            </w: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&lt;4&gt;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&lt;5&gt;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финансового обеспечения, тыс. рублей</w:t>
            </w: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&lt;6&gt;</w:t>
            </w:r>
          </w:p>
        </w:tc>
      </w:tr>
      <w:tr w:rsidR="009F4652" w:rsidRPr="000E1ADE" w:rsidTr="00F42971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9F4652" w:rsidRPr="000E1ADE" w:rsidTr="00F42971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F4652" w:rsidRPr="000E1ADE" w:rsidTr="00F42971">
        <w:trPr>
          <w:trHeight w:val="255"/>
        </w:trPr>
        <w:tc>
          <w:tcPr>
            <w:tcW w:w="15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Портфели проектов, основанные на национальных и федеральных проектах Российской Федерации у</w:t>
            </w:r>
          </w:p>
        </w:tc>
      </w:tr>
      <w:tr w:rsidR="009F4652" w:rsidRPr="000E1ADE" w:rsidTr="00F42971">
        <w:trPr>
          <w:trHeight w:val="57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9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школа (показатели 4, 6, 7, 10)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1.1., 2.1. 3.2., 3.3., 3.4., 3.5.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– Югры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74849,9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23702,7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15267,8</w:t>
            </w:r>
          </w:p>
        </w:tc>
      </w:tr>
      <w:tr w:rsidR="009F4652" w:rsidRPr="000E1ADE" w:rsidTr="00F42971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4652" w:rsidRPr="000E1ADE" w:rsidTr="00F42971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12039,6</w:t>
            </w:r>
          </w:p>
        </w:tc>
      </w:tr>
      <w:tr w:rsidR="009F4652" w:rsidRPr="000E1ADE" w:rsidTr="00F42971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17841,8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3228,2</w:t>
            </w:r>
          </w:p>
        </w:tc>
      </w:tr>
      <w:tr w:rsidR="009F4652" w:rsidRPr="000E1ADE" w:rsidTr="00F42971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 каждого ребенка (показатели 5, 8, 9)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309442,1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51491,2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51575,2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51594,2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51614,7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51635,6</w:t>
            </w:r>
          </w:p>
        </w:tc>
      </w:tr>
      <w:tr w:rsidR="009F4652" w:rsidRPr="000E1ADE" w:rsidTr="00F42971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4652" w:rsidRPr="000E1ADE" w:rsidTr="00F42971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306547,2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51091,2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51091,2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51091,2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51091,2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51091,2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51091,2</w:t>
            </w:r>
          </w:p>
        </w:tc>
      </w:tr>
      <w:tr w:rsidR="009F4652" w:rsidRPr="000E1ADE" w:rsidTr="00F42971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544,4</w:t>
            </w:r>
          </w:p>
        </w:tc>
      </w:tr>
      <w:tr w:rsidR="009F4652" w:rsidRPr="000E1ADE" w:rsidTr="00F42971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семей, имеющих детей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1.1., 3.1.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</w:t>
            </w: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каждого жителя Ханты-Мансийского автономного округа – Югры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2019-2024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58683</w:t>
            </w:r>
          </w:p>
        </w:tc>
      </w:tr>
      <w:tr w:rsidR="009F4652" w:rsidRPr="000E1ADE" w:rsidTr="00F42971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58683</w:t>
            </w:r>
          </w:p>
        </w:tc>
      </w:tr>
      <w:tr w:rsidR="009F4652" w:rsidRPr="000E1ADE" w:rsidTr="00F42971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4652" w:rsidRPr="000E1ADE" w:rsidTr="00F42971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4652" w:rsidRPr="000E1ADE" w:rsidTr="00F42971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образовательная среда (показатель 7)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1.1., 3.3.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– Югры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4652" w:rsidRPr="000E1ADE" w:rsidTr="00F42971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4652" w:rsidRPr="000E1ADE" w:rsidTr="00F42971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4652" w:rsidRPr="000E1ADE" w:rsidTr="00F42971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4652" w:rsidRPr="000E1ADE" w:rsidTr="00F42971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будущего (показатель 1)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1.1., 1.3.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– Югры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</w:t>
            </w:r>
          </w:p>
        </w:tc>
      </w:tr>
      <w:tr w:rsidR="009F4652" w:rsidRPr="000E1ADE" w:rsidTr="00F42971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1139,2</w:t>
            </w:r>
          </w:p>
        </w:tc>
      </w:tr>
      <w:tr w:rsidR="009F4652" w:rsidRPr="000E1ADE" w:rsidTr="00F42971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588,8</w:t>
            </w:r>
          </w:p>
        </w:tc>
      </w:tr>
      <w:tr w:rsidR="009F4652" w:rsidRPr="000E1ADE" w:rsidTr="00F42971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4652" w:rsidRPr="000E1ADE" w:rsidTr="00F42971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портфелю проектов 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746758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135605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114784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114856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127169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127314,4</w:t>
            </w:r>
          </w:p>
        </w:tc>
      </w:tr>
      <w:tr w:rsidR="009F4652" w:rsidRPr="000E1ADE" w:rsidTr="00F42971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358933,2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59822,2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59822,2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59822,2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59822,2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59822,2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59822,2</w:t>
            </w:r>
          </w:p>
        </w:tc>
      </w:tr>
      <w:tr w:rsidR="009F4652" w:rsidRPr="000E1ADE" w:rsidTr="00F42971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367088,1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72569,3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63719,6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63719,6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63719,6</w:t>
            </w:r>
          </w:p>
        </w:tc>
      </w:tr>
      <w:tr w:rsidR="009F4652" w:rsidRPr="000E1ADE" w:rsidTr="00F42971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20736,7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3772,6</w:t>
            </w:r>
          </w:p>
        </w:tc>
      </w:tr>
      <w:tr w:rsidR="009F4652" w:rsidRPr="000E1ADE" w:rsidTr="00F42971">
        <w:trPr>
          <w:trHeight w:val="46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9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Демография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Содействие занятости женщин - создание условий дошкольного </w:t>
            </w: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для детей в возрасте до трех лет (показатели 2, 3)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1.1., 3.4., 3.5.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дошкольного образования для детей в </w:t>
            </w:r>
            <w:proofErr w:type="spellStart"/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возпасте</w:t>
            </w:r>
            <w:proofErr w:type="spellEnd"/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трех лет, а также стимулирования создания дополнительных ме</w:t>
            </w:r>
            <w:proofErr w:type="gramStart"/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в гр</w:t>
            </w:r>
            <w:proofErr w:type="gramEnd"/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уппах </w:t>
            </w: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кратковременного пребывания детей дошкольного возраста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2019-2024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440947,1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60360,6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72280,8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80666,4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80945,3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73347</w:t>
            </w:r>
          </w:p>
        </w:tc>
      </w:tr>
      <w:tr w:rsidR="009F4652" w:rsidRPr="000E1ADE" w:rsidTr="00F42971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418957,5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60360,6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65208,9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73347</w:t>
            </w:r>
          </w:p>
        </w:tc>
      </w:tr>
      <w:tr w:rsidR="009F4652" w:rsidRPr="000E1ADE" w:rsidTr="00F42971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4652" w:rsidRPr="000E1ADE" w:rsidTr="00F42971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4652" w:rsidRPr="000E1ADE" w:rsidTr="00F42971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портфелю проектов 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440947,1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60360,6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72280,8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80666,4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80945,3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73347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73347</w:t>
            </w:r>
          </w:p>
        </w:tc>
      </w:tr>
      <w:tr w:rsidR="009F4652" w:rsidRPr="000E1ADE" w:rsidTr="00F42971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418957,5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60360,6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65208,9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73347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73347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73347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73347</w:t>
            </w:r>
          </w:p>
        </w:tc>
      </w:tr>
      <w:tr w:rsidR="009F4652" w:rsidRPr="000E1ADE" w:rsidTr="00F42971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21989,6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7071,9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7598,3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4652" w:rsidRPr="000E1ADE" w:rsidTr="00F42971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52" w:rsidRPr="000E1ADE" w:rsidRDefault="009F4652" w:rsidP="00F4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F30FD" w:rsidRDefault="008F30FD" w:rsidP="008F30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FD" w:rsidRPr="008F30FD" w:rsidRDefault="008F30FD" w:rsidP="008F30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30FD" w:rsidRDefault="008F30FD" w:rsidP="00661FD6">
      <w:pPr>
        <w:autoSpaceDE w:val="0"/>
        <w:autoSpaceDN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61FD6" w:rsidRPr="00661FD6" w:rsidRDefault="00661FD6" w:rsidP="00661FD6">
      <w:pPr>
        <w:autoSpaceDE w:val="0"/>
        <w:autoSpaceDN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61FD6">
        <w:rPr>
          <w:rFonts w:ascii="Times New Roman" w:eastAsia="Calibri" w:hAnsi="Times New Roman" w:cs="Times New Roman"/>
          <w:sz w:val="24"/>
          <w:szCs w:val="24"/>
        </w:rPr>
        <w:lastRenderedPageBreak/>
        <w:t>Таблица 4</w:t>
      </w:r>
    </w:p>
    <w:p w:rsidR="00661FD6" w:rsidRPr="00661FD6" w:rsidRDefault="00661FD6" w:rsidP="00661FD6">
      <w:pPr>
        <w:autoSpaceDE w:val="0"/>
        <w:autoSpaceDN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1FD6" w:rsidRPr="00661FD6" w:rsidRDefault="00661FD6" w:rsidP="00661FD6">
      <w:pPr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61FD6">
        <w:rPr>
          <w:rFonts w:ascii="Times New Roman" w:eastAsia="Calibri" w:hAnsi="Times New Roman" w:cs="Times New Roman"/>
          <w:sz w:val="24"/>
          <w:szCs w:val="24"/>
        </w:rPr>
        <w:t>Характеристика основных мероприятий муниципальной программы, их связь с целевыми показателями</w:t>
      </w:r>
    </w:p>
    <w:p w:rsidR="00661FD6" w:rsidRPr="00661FD6" w:rsidRDefault="00661FD6" w:rsidP="00661FD6">
      <w:pPr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35"/>
        <w:gridCol w:w="3543"/>
        <w:gridCol w:w="2977"/>
        <w:gridCol w:w="6554"/>
      </w:tblGrid>
      <w:tr w:rsidR="00661FD6" w:rsidRPr="00254FA7" w:rsidTr="00661FD6">
        <w:tc>
          <w:tcPr>
            <w:tcW w:w="567" w:type="dxa"/>
            <w:vMerge w:val="restart"/>
            <w:shd w:val="clear" w:color="auto" w:fill="auto"/>
            <w:hideMark/>
          </w:tcPr>
          <w:p w:rsidR="00661FD6" w:rsidRPr="00254FA7" w:rsidRDefault="00661FD6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155" w:type="dxa"/>
            <w:gridSpan w:val="3"/>
            <w:shd w:val="clear" w:color="auto" w:fill="auto"/>
            <w:hideMark/>
          </w:tcPr>
          <w:p w:rsidR="00661FD6" w:rsidRPr="00254FA7" w:rsidRDefault="00661FD6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6554" w:type="dxa"/>
            <w:vMerge w:val="restart"/>
            <w:shd w:val="clear" w:color="auto" w:fill="auto"/>
            <w:vAlign w:val="center"/>
            <w:hideMark/>
          </w:tcPr>
          <w:p w:rsidR="00661FD6" w:rsidRPr="00254FA7" w:rsidRDefault="00661FD6" w:rsidP="0025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</w:tr>
      <w:tr w:rsidR="00661FD6" w:rsidRPr="00254FA7" w:rsidTr="00661FD6">
        <w:tc>
          <w:tcPr>
            <w:tcW w:w="567" w:type="dxa"/>
            <w:vMerge/>
            <w:shd w:val="clear" w:color="auto" w:fill="auto"/>
            <w:hideMark/>
          </w:tcPr>
          <w:p w:rsidR="00661FD6" w:rsidRPr="00254FA7" w:rsidRDefault="00661FD6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61FD6" w:rsidRPr="00254FA7" w:rsidRDefault="00661FD6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661FD6" w:rsidRPr="00254FA7" w:rsidRDefault="00661FD6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(направления расходов)</w:t>
            </w:r>
          </w:p>
        </w:tc>
        <w:tc>
          <w:tcPr>
            <w:tcW w:w="2977" w:type="dxa"/>
            <w:shd w:val="clear" w:color="auto" w:fill="auto"/>
            <w:hideMark/>
          </w:tcPr>
          <w:p w:rsidR="00661FD6" w:rsidRPr="00254FA7" w:rsidRDefault="00661FD6" w:rsidP="0025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  <w:proofErr w:type="gramEnd"/>
          </w:p>
        </w:tc>
        <w:tc>
          <w:tcPr>
            <w:tcW w:w="6554" w:type="dxa"/>
            <w:vMerge/>
            <w:shd w:val="clear" w:color="auto" w:fill="auto"/>
            <w:hideMark/>
          </w:tcPr>
          <w:p w:rsidR="00661FD6" w:rsidRPr="00254FA7" w:rsidRDefault="00661FD6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</w:tr>
      <w:tr w:rsidR="00661FD6" w:rsidRPr="00254FA7" w:rsidTr="00661FD6">
        <w:tc>
          <w:tcPr>
            <w:tcW w:w="567" w:type="dxa"/>
            <w:shd w:val="clear" w:color="auto" w:fill="auto"/>
            <w:hideMark/>
          </w:tcPr>
          <w:p w:rsidR="00661FD6" w:rsidRPr="00254FA7" w:rsidRDefault="00661FD6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shd w:val="clear" w:color="auto" w:fill="auto"/>
            <w:hideMark/>
          </w:tcPr>
          <w:p w:rsidR="00661FD6" w:rsidRPr="00254FA7" w:rsidRDefault="00661FD6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  <w:hideMark/>
          </w:tcPr>
          <w:p w:rsidR="00661FD6" w:rsidRPr="00254FA7" w:rsidRDefault="00661FD6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661FD6" w:rsidRPr="00254FA7" w:rsidRDefault="00661FD6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4" w:type="dxa"/>
            <w:shd w:val="clear" w:color="auto" w:fill="auto"/>
            <w:hideMark/>
          </w:tcPr>
          <w:p w:rsidR="00661FD6" w:rsidRPr="00254FA7" w:rsidRDefault="00661FD6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61FD6" w:rsidRPr="00254FA7" w:rsidTr="00661FD6">
        <w:tc>
          <w:tcPr>
            <w:tcW w:w="15276" w:type="dxa"/>
            <w:gridSpan w:val="5"/>
            <w:shd w:val="clear" w:color="auto" w:fill="auto"/>
          </w:tcPr>
          <w:p w:rsidR="00661FD6" w:rsidRPr="00254FA7" w:rsidRDefault="00661FD6" w:rsidP="00254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</w:t>
            </w:r>
            <w:r w:rsidR="00254FA7"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города </w:t>
            </w:r>
            <w:proofErr w:type="spellStart"/>
            <w:r w:rsidR="00254FA7"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</w:tr>
      <w:tr w:rsidR="00661FD6" w:rsidRPr="00254FA7" w:rsidTr="00661FD6">
        <w:tc>
          <w:tcPr>
            <w:tcW w:w="15276" w:type="dxa"/>
            <w:gridSpan w:val="5"/>
            <w:shd w:val="clear" w:color="auto" w:fill="auto"/>
          </w:tcPr>
          <w:p w:rsidR="00661FD6" w:rsidRPr="00254FA7" w:rsidRDefault="00661FD6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1. </w:t>
            </w:r>
            <w:r w:rsidR="00254FA7"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системы дошкольного, общего и дополнительного образования детей</w:t>
            </w:r>
          </w:p>
        </w:tc>
      </w:tr>
      <w:tr w:rsidR="009F4652" w:rsidRPr="00254FA7" w:rsidTr="00A90C1A">
        <w:trPr>
          <w:trHeight w:val="6271"/>
        </w:trPr>
        <w:tc>
          <w:tcPr>
            <w:tcW w:w="567" w:type="dxa"/>
            <w:vMerge w:val="restart"/>
            <w:shd w:val="clear" w:color="auto" w:fill="auto"/>
            <w:hideMark/>
          </w:tcPr>
          <w:p w:rsidR="009F4652" w:rsidRPr="00254FA7" w:rsidRDefault="009F4652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системы дошкольного и общего образования</w:t>
            </w:r>
          </w:p>
        </w:tc>
        <w:tc>
          <w:tcPr>
            <w:tcW w:w="3543" w:type="dxa"/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 для раннего развития детей в возрасте до трех лет </w:t>
            </w:r>
          </w:p>
          <w:p w:rsidR="009F4652" w:rsidRPr="00254FA7" w:rsidRDefault="009F4652" w:rsidP="00661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негосударственных центров, обеспечивающих консультационно-диагностическую, информационно-просветительскую поддержку родителей детей, не посещающих образовательные организации.</w:t>
            </w:r>
          </w:p>
          <w:p w:rsidR="009F4652" w:rsidRPr="00254FA7" w:rsidRDefault="009F4652" w:rsidP="00661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Психолого-педагогическое консультирование обучающихся, их родителей и педагогических работников.</w:t>
            </w:r>
          </w:p>
          <w:p w:rsidR="009F4652" w:rsidRPr="00254FA7" w:rsidRDefault="009F4652" w:rsidP="00124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проекта раннего развития, в т. ч. детей с ОВЗ</w:t>
            </w:r>
          </w:p>
        </w:tc>
        <w:tc>
          <w:tcPr>
            <w:tcW w:w="2977" w:type="dxa"/>
            <w:shd w:val="clear" w:color="auto" w:fill="auto"/>
          </w:tcPr>
          <w:p w:rsidR="009F4652" w:rsidRPr="00254FA7" w:rsidRDefault="009F4652" w:rsidP="00FB7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Национальный проект «Образование», федеральный проект «Современные родители»</w:t>
            </w:r>
          </w:p>
          <w:p w:rsidR="009F4652" w:rsidRPr="00254FA7" w:rsidRDefault="009F4652" w:rsidP="00254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Национальный проект «Демография»,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6554" w:type="dxa"/>
            <w:vMerge w:val="restart"/>
            <w:shd w:val="clear" w:color="auto" w:fill="auto"/>
          </w:tcPr>
          <w:p w:rsidR="009F4652" w:rsidRPr="00254FA7" w:rsidRDefault="009F4652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54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1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административно-управленческого и педагогического персонала общеобразовательных организаций, прошедших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F4652" w:rsidRPr="00254FA7" w:rsidRDefault="009F4652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Характеризует качественный состав административно-управленческого персонала, его готовность к внедрению новых образовательных стандартов, </w:t>
            </w:r>
            <w:proofErr w:type="gram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экономических механизмов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модернизации образования в целом.</w:t>
            </w:r>
          </w:p>
          <w:p w:rsidR="009F4652" w:rsidRPr="00254FA7" w:rsidRDefault="009F4652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9F4652" w:rsidRPr="00254FA7" w:rsidRDefault="009F4652" w:rsidP="006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ЧОпк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ЧОп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* 100, где:</w:t>
            </w:r>
          </w:p>
          <w:p w:rsidR="009F4652" w:rsidRPr="00254FA7" w:rsidRDefault="009F4652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ЧОпк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численность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(дополнительная информация образовательных организаций общего образования);</w:t>
            </w:r>
          </w:p>
          <w:p w:rsidR="009F4652" w:rsidRPr="00254FA7" w:rsidRDefault="009F4652" w:rsidP="00B6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Чоп - численность административно-управленческого и педагогического персонала (без внешних совместителей) общеобразовательных организаций (периодическая отчетность, форма № ОО-1).</w:t>
            </w:r>
          </w:p>
          <w:p w:rsidR="004A266B" w:rsidRDefault="009F4652" w:rsidP="00B6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Pr="00254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2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Отношение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очереди на получение в текущем году дошкольного образования.</w:t>
            </w:r>
            <w:proofErr w:type="gramEnd"/>
          </w:p>
          <w:p w:rsidR="009F4652" w:rsidRPr="00254FA7" w:rsidRDefault="009F4652" w:rsidP="00B6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зует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доступность дошкольного образования для детей в возрасте от 0 до 3 лет в автономном округе.</w:t>
            </w:r>
          </w:p>
          <w:p w:rsidR="009F4652" w:rsidRPr="00254FA7" w:rsidRDefault="009F4652" w:rsidP="00B6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9F4652" w:rsidRPr="00254FA7" w:rsidRDefault="009F4652" w:rsidP="00B6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Чп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(0-3) / (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Чп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(0-3) + 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Чэ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(0-3)) * 100%, где:</w:t>
            </w:r>
          </w:p>
          <w:p w:rsidR="009F4652" w:rsidRPr="00254FA7" w:rsidRDefault="009F4652" w:rsidP="00B6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Чп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(0-3) - численность детей в возрасте от 0 до 3 лет, получающих дошкольное образование в текущем году (данные мониторинга численности детей, получающих образовательные услуги по дошкольному образованию и (или) содержанию (присмотру и уходу));</w:t>
            </w:r>
          </w:p>
          <w:p w:rsidR="009F4652" w:rsidRPr="00254FA7" w:rsidRDefault="009F4652" w:rsidP="00B6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Чэ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(0-3) - численность детей в возрасте от 0 до 3 лет, находящихся в очереди на получение в текущем году дошкольного образования (данные федеральной системы показателей электронной очереди по приему заявлений, постановке на учет и зачислению детей в дошкольные образовательные организации).</w:t>
            </w:r>
          </w:p>
          <w:p w:rsidR="009F4652" w:rsidRPr="00254FA7" w:rsidRDefault="009F4652" w:rsidP="00A2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Показатель 3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Обеспеченность детей дошкольного возраста местами в дошкольных образовательных организациях (количество мест на 1000 детей).</w:t>
            </w:r>
          </w:p>
          <w:p w:rsidR="009F4652" w:rsidRPr="00254FA7" w:rsidRDefault="009F4652" w:rsidP="00A2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Характеризует обеспеченность детей дошкольного возраста местами в дошкольных образовательных организациях.</w:t>
            </w:r>
          </w:p>
          <w:p w:rsidR="009F4652" w:rsidRPr="00254FA7" w:rsidRDefault="009F4652" w:rsidP="00A2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9F4652" w:rsidRPr="00254FA7" w:rsidRDefault="009F4652" w:rsidP="00A2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Чмест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(ЧД1-6 - ЧД5-6оу)) * 1000, где:</w:t>
            </w:r>
          </w:p>
          <w:p w:rsidR="009F4652" w:rsidRPr="00254FA7" w:rsidRDefault="009F4652" w:rsidP="00A2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Чмест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численность мест в дошкольных образовательных организациях 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(периодическая отчетность, форма № 85-К);</w:t>
            </w:r>
          </w:p>
          <w:p w:rsidR="009F4652" w:rsidRPr="00254FA7" w:rsidRDefault="009F4652" w:rsidP="00A2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ЧД1-6 - численность населения в возрасте 1 - 6 лет (демографические данные населения в возрасте 1 - 6 лет);</w:t>
            </w:r>
          </w:p>
          <w:p w:rsidR="009F4652" w:rsidRPr="00254FA7" w:rsidRDefault="009F4652" w:rsidP="00A2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ЧД5-6оу - численность обучающихся в общеобразовательных организациях в возрасте 5 - 6 лет (периодическая отчетность, форма № ОО-1).</w:t>
            </w:r>
          </w:p>
          <w:p w:rsidR="009F4652" w:rsidRPr="00254FA7" w:rsidRDefault="009F4652" w:rsidP="00A2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Показатель 4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Отношение среднего балла единого государственного экзамена (в расчете на 1 обязательный предмет) в 10% школ с лучшими результатами единого государственного экзамена к среднему баллу единого государственного экзамена (в расчете на 1 обязательный предмет) в 10% школ с худшими результатами единого государственного экзамена. </w:t>
            </w:r>
          </w:p>
          <w:p w:rsidR="009F4652" w:rsidRPr="00254FA7" w:rsidRDefault="009F4652" w:rsidP="00A2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Характеризует равенство доступа учащихся общеобразовательных организаций к качественным образовательным услугам общего образования, позволяет оценить эффективность предусмотренных муниципальной программой мер, направленных на снижение дифференциации (разрыва) в качестве образовательных результатов между школами.</w:t>
            </w:r>
          </w:p>
          <w:p w:rsidR="009F4652" w:rsidRPr="00254FA7" w:rsidRDefault="009F4652" w:rsidP="00A2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9F4652" w:rsidRPr="00254FA7" w:rsidRDefault="009F4652" w:rsidP="008E0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Arial" w:cs="Arial"/>
                  <w:sz w:val="20"/>
                  <w:szCs w:val="20"/>
                  <w:lang w:eastAsia="ru-RU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  <m:r>
                <m:rPr>
                  <m:sty m:val="p"/>
                </m:rPr>
                <w:rPr>
                  <w:rFonts w:ascii="Cambria Math" w:eastAsia="Times New Roman" w:hAnsi="Arial" w:cs="Arial"/>
                  <w:sz w:val="20"/>
                  <w:szCs w:val="20"/>
                  <w:lang w:eastAsia="ru-RU"/>
                </w:rPr>
                <m:t xml:space="preserve"> ,</m:t>
              </m:r>
            </m:oMath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9F4652" w:rsidRPr="00254FA7" w:rsidRDefault="009F4652" w:rsidP="00A2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ki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участников (выпускников текущего года) образовательной организации, имеющих активный результат (далее - участники) по русскому языку,</w:t>
            </w:r>
          </w:p>
          <w:p w:rsidR="009F4652" w:rsidRPr="00254FA7" w:rsidRDefault="009F4652" w:rsidP="00A2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xi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средний тестовый балл участников по русскому языку.</w:t>
            </w:r>
          </w:p>
          <w:p w:rsidR="009F4652" w:rsidRPr="00254FA7" w:rsidRDefault="009F4652" w:rsidP="00A2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Таким образом, средний балл образовательной организации рассчитывается следующим образом:</w:t>
            </w:r>
          </w:p>
          <w:p w:rsidR="009F4652" w:rsidRPr="00254FA7" w:rsidRDefault="009F4652" w:rsidP="008E0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Arial" w:cs="Arial"/>
                  <w:sz w:val="20"/>
                  <w:szCs w:val="20"/>
                  <w:lang w:eastAsia="ru-RU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рус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яз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рус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яз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рус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яз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="Times New Roman" w:hAnsi="Arial" w:cs="Arial"/>
                  <w:sz w:val="20"/>
                  <w:szCs w:val="20"/>
                  <w:lang w:eastAsia="ru-RU"/>
                </w:rPr>
                <m:t>,</m:t>
              </m:r>
            </m:oMath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где:</w:t>
            </w:r>
          </w:p>
          <w:p w:rsidR="009F4652" w:rsidRPr="00254FA7" w:rsidRDefault="009F4652" w:rsidP="008E0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рус.яз</m:t>
                  </m:r>
                </m:sub>
              </m:sSub>
            </m:oMath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средний балл участников по русскому языку,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рус.яз</m:t>
                  </m:r>
                </m:sub>
              </m:sSub>
            </m:oMath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участников по русскому языку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54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5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Характеризует доступность дополнительного образования детей.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 wp14:anchorId="4D456766" wp14:editId="7A9C8FFD">
                  <wp:extent cx="1915160" cy="466090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доля детей в возрасте от 5 до 18 лет, охваченных программами дополнительного образования;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услуг дополнительного образования, оказанных детям в возрасте от 5 до 18 лет;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общая численность детей в возрасте от 5 до 18 лет (демографические данные);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коэф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54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7.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учреждений.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Определяется отношением общеобразовательных организаций, оснащенных современным учебным оборудованием, к общей численности общеобразовательных организаций.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ЧОоуосо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ЧОоу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* 100,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где: 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ЧОоуосо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численность муниципальных общеобразовательных организаций, соответствующих современным требованиям обучения (дополнительные сведения);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ЧОоу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общая численность муниципальных общеобразовательных организаций (периодическая отчетность, форма № ОО-1).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54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8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Доля негосударственных, в том числе некоммерческих, организаций, предоставляющих услуги в сфере образования, в общем числе организаций, предоставляющих услуги в сфере образования.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Характеризует обеспечение предоставления услуг в сфере образования негосударственными организациями.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proofErr w:type="gram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К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 100%, где: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негосударственных, в том числе некоммерческих, организаций, предоставляющих услуги в сфере образования;</w:t>
            </w:r>
          </w:p>
          <w:p w:rsidR="009F4652" w:rsidRPr="00254FA7" w:rsidRDefault="009F4652" w:rsidP="008E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число организаций, предоставляющих услуги в сфере образования</w:t>
            </w:r>
          </w:p>
          <w:p w:rsidR="009F4652" w:rsidRPr="00254FA7" w:rsidRDefault="009F4652" w:rsidP="00661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254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9</w:t>
            </w: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. 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образования.</w:t>
            </w:r>
          </w:p>
          <w:p w:rsidR="009F4652" w:rsidRPr="00254FA7" w:rsidRDefault="009F4652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Характеризует обеспеченность населения услугами, предоставляемыми негосударственными организациями в сфере образования.</w:t>
            </w:r>
          </w:p>
          <w:p w:rsidR="009F4652" w:rsidRPr="00254FA7" w:rsidRDefault="009F4652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9F4652" w:rsidRPr="00254FA7" w:rsidRDefault="009F4652" w:rsidP="006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proofErr w:type="gram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К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о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* 100%, где:</w:t>
            </w:r>
          </w:p>
          <w:p w:rsidR="009F4652" w:rsidRPr="00254FA7" w:rsidRDefault="009F4652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граждан автономного округа, получающих услуги в негосударственных организациях (коммерческих, некоммерческих);</w:t>
            </w:r>
          </w:p>
          <w:p w:rsidR="009F4652" w:rsidRPr="00254FA7" w:rsidRDefault="009F4652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о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общее число граждан автономного округа, получающих услуги в сфере образования</w:t>
            </w:r>
          </w:p>
        </w:tc>
      </w:tr>
      <w:tr w:rsidR="009F4652" w:rsidRPr="00254FA7" w:rsidTr="0056553F">
        <w:trPr>
          <w:trHeight w:val="3207"/>
        </w:trPr>
        <w:tc>
          <w:tcPr>
            <w:tcW w:w="567" w:type="dxa"/>
            <w:vMerge/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предметных областей, в том числе предметной области «Технология».</w:t>
            </w:r>
          </w:p>
          <w:p w:rsidR="009F4652" w:rsidRPr="00254FA7" w:rsidRDefault="009F4652" w:rsidP="00124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Формирование, апробация и внедрение модели сетевого взаимодействия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F4652" w:rsidRPr="00254FA7" w:rsidRDefault="009F4652" w:rsidP="00FB7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Национальный проект «Образование», федеральный проект «Цифровая образовательная среда»</w:t>
            </w:r>
          </w:p>
        </w:tc>
        <w:tc>
          <w:tcPr>
            <w:tcW w:w="6554" w:type="dxa"/>
            <w:vMerge/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720B" w:rsidRPr="00254FA7" w:rsidTr="00FB720B">
        <w:trPr>
          <w:trHeight w:val="1657"/>
        </w:trPr>
        <w:tc>
          <w:tcPr>
            <w:tcW w:w="567" w:type="dxa"/>
            <w:vMerge/>
            <w:shd w:val="clear" w:color="auto" w:fill="auto"/>
          </w:tcPr>
          <w:p w:rsidR="00FB720B" w:rsidRPr="00254FA7" w:rsidRDefault="00FB720B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FB720B" w:rsidRPr="00254FA7" w:rsidRDefault="00FB720B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B720B" w:rsidRPr="00254FA7" w:rsidRDefault="00FB720B" w:rsidP="002A4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цифровой образовательной среды. Вхождение в единую информационно-сервисную платформу с сегментом для размещения открытых данных в машиночитаемом формате.</w:t>
            </w:r>
          </w:p>
          <w:p w:rsidR="00FB720B" w:rsidRPr="00254FA7" w:rsidRDefault="00FB720B" w:rsidP="002A4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дистанционного обучения</w:t>
            </w:r>
          </w:p>
        </w:tc>
        <w:tc>
          <w:tcPr>
            <w:tcW w:w="2977" w:type="dxa"/>
            <w:shd w:val="clear" w:color="auto" w:fill="auto"/>
          </w:tcPr>
          <w:p w:rsidR="00FB720B" w:rsidRPr="00254FA7" w:rsidRDefault="00FB720B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Национальный проект «Образование», федеральный проект «Цифровая образовательная среда»</w:t>
            </w:r>
          </w:p>
        </w:tc>
        <w:tc>
          <w:tcPr>
            <w:tcW w:w="6554" w:type="dxa"/>
            <w:vMerge/>
            <w:shd w:val="clear" w:color="auto" w:fill="auto"/>
          </w:tcPr>
          <w:p w:rsidR="00FB720B" w:rsidRPr="00254FA7" w:rsidRDefault="00FB720B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720B" w:rsidRPr="00254FA7" w:rsidTr="00661FD6">
        <w:trPr>
          <w:trHeight w:val="5285"/>
        </w:trPr>
        <w:tc>
          <w:tcPr>
            <w:tcW w:w="567" w:type="dxa"/>
            <w:vMerge/>
            <w:shd w:val="clear" w:color="auto" w:fill="auto"/>
          </w:tcPr>
          <w:p w:rsidR="00FB720B" w:rsidRPr="00254FA7" w:rsidRDefault="00FB720B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FB720B" w:rsidRPr="00254FA7" w:rsidRDefault="00FB720B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BC6E91" w:rsidRDefault="00BC6E91" w:rsidP="002A4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н</w:t>
            </w:r>
            <w:r w:rsidRPr="00BC6E91">
              <w:rPr>
                <w:rFonts w:ascii="Times New Roman" w:eastAsia="Calibri" w:hAnsi="Times New Roman" w:cs="Times New Roman"/>
                <w:sz w:val="20"/>
                <w:szCs w:val="20"/>
              </w:rPr>
              <w:t>ациональн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r w:rsidRPr="00B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B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учительского роста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B720B" w:rsidRPr="00254FA7" w:rsidRDefault="00FB720B" w:rsidP="002A4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педагогических кадров и административно-управленческого персонала с учетом федеральных государственных образовательных стандартов дошкольного образования.</w:t>
            </w:r>
          </w:p>
          <w:p w:rsidR="00FB720B" w:rsidRPr="00254FA7" w:rsidRDefault="00FB720B" w:rsidP="002A4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 семинаров по обучению педагогов методам  реализации эффективных образовательных технологий.</w:t>
            </w:r>
          </w:p>
          <w:p w:rsidR="00FB720B" w:rsidRPr="00254FA7" w:rsidRDefault="00FB720B" w:rsidP="002A4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Аттестации руководителей муниципальных образовательных учреждений.</w:t>
            </w:r>
          </w:p>
          <w:p w:rsidR="00FB720B" w:rsidRPr="00254FA7" w:rsidRDefault="00FB720B" w:rsidP="002A4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B720B" w:rsidRPr="00254FA7" w:rsidRDefault="00FB720B" w:rsidP="00FB7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Национальный проект «Образование», федеральный проект «Учитель будущего»</w:t>
            </w:r>
          </w:p>
        </w:tc>
        <w:tc>
          <w:tcPr>
            <w:tcW w:w="6554" w:type="dxa"/>
            <w:vMerge/>
            <w:shd w:val="clear" w:color="auto" w:fill="auto"/>
          </w:tcPr>
          <w:p w:rsidR="00FB720B" w:rsidRPr="00254FA7" w:rsidRDefault="00FB720B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928" w:rsidRPr="00254FA7" w:rsidTr="00060C4C">
        <w:trPr>
          <w:trHeight w:val="1386"/>
        </w:trPr>
        <w:tc>
          <w:tcPr>
            <w:tcW w:w="567" w:type="dxa"/>
            <w:vMerge w:val="restart"/>
            <w:shd w:val="clear" w:color="auto" w:fill="auto"/>
          </w:tcPr>
          <w:p w:rsidR="00A55928" w:rsidRPr="00254FA7" w:rsidRDefault="00A55928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A55928" w:rsidRPr="00254FA7" w:rsidRDefault="00A55928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</w:t>
            </w:r>
          </w:p>
        </w:tc>
        <w:tc>
          <w:tcPr>
            <w:tcW w:w="3543" w:type="dxa"/>
            <w:shd w:val="clear" w:color="auto" w:fill="auto"/>
          </w:tcPr>
          <w:p w:rsidR="00A55928" w:rsidRPr="00254FA7" w:rsidRDefault="00A55928" w:rsidP="00A55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реализации приоритетного регионального проекта «Создание региональной системы дополнительного образования детей», в том числе обеспечение функционирования СДО и реализация муниципальной модели системы ПФДО</w:t>
            </w:r>
          </w:p>
          <w:p w:rsidR="00A55928" w:rsidRPr="00254FA7" w:rsidRDefault="00A55928" w:rsidP="00AF24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55928" w:rsidRPr="00254FA7" w:rsidRDefault="00A55928" w:rsidP="002A46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города </w:t>
            </w: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10.07.2018 № 1938 «Об утверждении </w:t>
            </w:r>
            <w:proofErr w:type="gram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Программы  персонифицированного финансирования дополнительного образования детей города </w:t>
            </w: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Югорска</w:t>
            </w:r>
            <w:proofErr w:type="spellEnd"/>
            <w:proofErr w:type="gram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2019 год и плановый период 2020 – 2021 годов»</w:t>
            </w:r>
          </w:p>
          <w:p w:rsidR="00A55928" w:rsidRPr="00254FA7" w:rsidRDefault="00A55928" w:rsidP="002A46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4" w:type="dxa"/>
            <w:vMerge w:val="restart"/>
            <w:shd w:val="clear" w:color="auto" w:fill="auto"/>
          </w:tcPr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5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Характеризует доступность дополнительного образования детей.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 wp14:anchorId="0B7D7861" wp14:editId="677FDB75">
                  <wp:extent cx="1915160" cy="466090"/>
                  <wp:effectExtent l="0" t="0" r="889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доля детей в возрасте от 5 до 18 лет, охваченных программами дополнительного образования;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услуг дополнительного образования, оказанных детям в возрасте от 5 до 18 лет;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общая численность детей в возрасте от 5 до 18 лет (демографические данные);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коэф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8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Доля негосударственных, в том числе некоммерческих, организаций, предоставляющих услуги в сфере образования, в общем числе организаций, предоставляющих услуги в сфере образования.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Характеризует обеспечение предоставления услуг в сфере образования негосударственными организациями.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proofErr w:type="gram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К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 100%, где: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негосударственных, в том числе некоммерческих, организаций, предоставляющих услуги в сфере образования;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число организаций, предоставляющих услуги в сфере образования</w:t>
            </w:r>
          </w:p>
          <w:p w:rsidR="00A55928" w:rsidRPr="00254FA7" w:rsidRDefault="00A55928" w:rsidP="00060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254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9</w:t>
            </w: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. 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образования.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Характеризует обеспеченность населения услугами, предоставляемыми негосударственными организациями в сфере образования.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proofErr w:type="gram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К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о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* 100%, где:</w:t>
            </w:r>
          </w:p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граждан автономного округа, получающих услуги в негосударственных организациях (коммерческих, некоммерческих);</w:t>
            </w:r>
          </w:p>
          <w:p w:rsidR="00A55928" w:rsidRPr="00254FA7" w:rsidRDefault="00A55928" w:rsidP="00060C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о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общее число граждан автономного округа, получающих услуги в сфере образования</w:t>
            </w:r>
          </w:p>
        </w:tc>
      </w:tr>
      <w:tr w:rsidR="00A55928" w:rsidRPr="00254FA7" w:rsidTr="00060C4C">
        <w:trPr>
          <w:trHeight w:val="1277"/>
        </w:trPr>
        <w:tc>
          <w:tcPr>
            <w:tcW w:w="567" w:type="dxa"/>
            <w:vMerge/>
            <w:shd w:val="clear" w:color="auto" w:fill="auto"/>
          </w:tcPr>
          <w:p w:rsidR="00A55928" w:rsidRPr="00254FA7" w:rsidRDefault="00A55928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A55928" w:rsidRPr="00254FA7" w:rsidRDefault="00A55928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55928" w:rsidRPr="00254FA7" w:rsidRDefault="00A55928" w:rsidP="00AF24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предоставления дополнительного образования детей в муниципальных образовательных организациях. Поддержка негосударственных организаций, реализующих дополнительные общеобразовательные программы, и развитие детского технопарка «</w:t>
            </w: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55928" w:rsidRPr="00254FA7" w:rsidRDefault="00A55928" w:rsidP="002A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2 Статьи 9 </w:t>
            </w:r>
            <w:r w:rsidRPr="00254FA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Федерального закона от 29.12.2012 № 273-ФЗ «Об образовании в Российской Федерации» </w:t>
            </w:r>
          </w:p>
          <w:p w:rsidR="00A55928" w:rsidRDefault="00A55928" w:rsidP="002A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E45" w:rsidRDefault="00787E45" w:rsidP="002A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E45" w:rsidRDefault="00787E45" w:rsidP="002A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E45" w:rsidRPr="00254FA7" w:rsidRDefault="00787E45" w:rsidP="00787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5928" w:rsidRPr="00254FA7" w:rsidTr="0085164A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A55928" w:rsidRPr="00254FA7" w:rsidRDefault="00A55928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A55928" w:rsidRPr="00254FA7" w:rsidRDefault="00A55928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55928" w:rsidRPr="00254FA7" w:rsidRDefault="00A55928" w:rsidP="00AF24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муниципальной модели выявления и сопровождения детей, проявляющих выдающиеся способности, участие в проекте «Лидеры Югры» (включение детей в прорывные региональные практики, связанные с сектором реальной экономики), направленной на раннюю профориентацию*</w:t>
            </w:r>
          </w:p>
          <w:p w:rsidR="00A55928" w:rsidRPr="00254FA7" w:rsidRDefault="00A55928" w:rsidP="00AF24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комплекса мер по ранней профессиональной ориентации, раннему самоопределению, в том числе через систему дополнительного образования.*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55928" w:rsidRDefault="00787E45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787E45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Национальный проект «Образование», федеральный проект «Успех каждого ребенка»</w:t>
            </w:r>
          </w:p>
          <w:p w:rsidR="00787E45" w:rsidRDefault="00787E45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</w:t>
            </w:r>
            <w:proofErr w:type="spellStart"/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от 14.10.2016 №2513</w:t>
            </w:r>
          </w:p>
          <w:p w:rsidR="0085164A" w:rsidRDefault="002A2E20" w:rsidP="00787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2A2E20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Указ Президента РФ от 29.10.2015 № 536 «О создании Общероссийской общественно-государственной детско-юношеской организации «Российское движение школьников»</w:t>
            </w:r>
          </w:p>
          <w:p w:rsidR="0085164A" w:rsidRDefault="0085164A" w:rsidP="00787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85164A" w:rsidRDefault="00D5345B" w:rsidP="00787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D5345B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</w:t>
            </w:r>
            <w:proofErr w:type="spellStart"/>
            <w:r w:rsidRPr="00D5345B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D5345B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10</w:t>
            </w:r>
            <w:r w:rsidRPr="00D5345B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</w:t>
            </w:r>
            <w:r w:rsidRPr="00D5345B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</w:t>
            </w:r>
            <w:r w:rsidRPr="00D5345B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3552</w:t>
            </w:r>
          </w:p>
          <w:p w:rsidR="0085164A" w:rsidRDefault="0085164A" w:rsidP="00787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787E45" w:rsidRDefault="00787E45" w:rsidP="00787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787E45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Федеральный закон от 24.06.1999 N 120-ФЗ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«</w:t>
            </w:r>
            <w:r w:rsidRPr="00787E45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Об основах системы профилактики безнадзорности и правонарушений </w:t>
            </w:r>
            <w:r w:rsidRPr="00787E45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несовершеннолетних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5164A" w:rsidRDefault="0085164A" w:rsidP="00787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85164A" w:rsidRDefault="0085164A" w:rsidP="00787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85164A" w:rsidRDefault="0085164A" w:rsidP="00787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85164A" w:rsidRDefault="0085164A" w:rsidP="00787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85164A" w:rsidRDefault="0085164A" w:rsidP="00787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85164A" w:rsidRDefault="0085164A" w:rsidP="00787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F4652" w:rsidRDefault="009F4652" w:rsidP="00787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F4652" w:rsidRDefault="009F4652" w:rsidP="00787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85164A" w:rsidRPr="00254FA7" w:rsidRDefault="0085164A" w:rsidP="00851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«</w:t>
            </w:r>
            <w:r w:rsidRPr="0085164A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Стратегия противодействия экстремизму в Российской Федерации до 2025 года</w:t>
            </w:r>
            <w:proofErr w:type="gramStart"/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»</w:t>
            </w:r>
            <w:r w:rsidRPr="0085164A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85164A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утв. Президентом РФ 28.11.2014 N Пр-2753)</w:t>
            </w:r>
          </w:p>
        </w:tc>
        <w:tc>
          <w:tcPr>
            <w:tcW w:w="6554" w:type="dxa"/>
            <w:vMerge/>
            <w:shd w:val="clear" w:color="auto" w:fill="auto"/>
          </w:tcPr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5928" w:rsidRPr="00254FA7" w:rsidTr="00A55928">
        <w:trPr>
          <w:trHeight w:val="2132"/>
        </w:trPr>
        <w:tc>
          <w:tcPr>
            <w:tcW w:w="567" w:type="dxa"/>
            <w:vMerge/>
            <w:shd w:val="clear" w:color="auto" w:fill="auto"/>
          </w:tcPr>
          <w:p w:rsidR="00A55928" w:rsidRPr="00254FA7" w:rsidRDefault="00A55928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A55928" w:rsidRPr="00254FA7" w:rsidRDefault="00A55928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55928" w:rsidRPr="00254FA7" w:rsidRDefault="00A55928" w:rsidP="00AF24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Финансовое обеспечение, методическое и информационное сопровождение традиционных федеральных,  региональных, муниципальных мероприятий по выявлению и поддержке лидеров в сфере образования, талантливой молодежи и детей, предметные олимпиады, олимпиады школьников, муниципальная поддержка </w:t>
            </w: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талантливой </w:t>
            </w:r>
            <w:r w:rsidR="00B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предоставление денежного поощрения победителям и призерам всероссийской </w:t>
            </w:r>
          </w:p>
          <w:p w:rsidR="00A55928" w:rsidRPr="00254FA7" w:rsidRDefault="0085164A" w:rsidP="00AF24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164A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региональном конкурсе «Ученик года», в Научной сессии старшеклассников</w:t>
            </w:r>
          </w:p>
        </w:tc>
        <w:tc>
          <w:tcPr>
            <w:tcW w:w="2977" w:type="dxa"/>
            <w:vMerge/>
            <w:shd w:val="clear" w:color="auto" w:fill="auto"/>
          </w:tcPr>
          <w:p w:rsidR="00A55928" w:rsidRPr="00254FA7" w:rsidRDefault="00A55928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5928" w:rsidRPr="00254FA7" w:rsidTr="002A46E4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A55928" w:rsidRPr="00254FA7" w:rsidRDefault="00A55928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A55928" w:rsidRPr="00254FA7" w:rsidRDefault="00A55928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55928" w:rsidRPr="00254FA7" w:rsidRDefault="00A55928" w:rsidP="00A55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по профилактике правонарушений, дорожно-транспортного травматизма, потребления </w:t>
            </w: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веществ, алкоголя, </w:t>
            </w: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55928" w:rsidRPr="00254FA7" w:rsidRDefault="00A55928" w:rsidP="00851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55928" w:rsidRPr="00254FA7" w:rsidRDefault="00A55928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A55928" w:rsidRPr="00254FA7" w:rsidRDefault="00A55928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4652" w:rsidRPr="00254FA7" w:rsidTr="00661FD6">
        <w:tc>
          <w:tcPr>
            <w:tcW w:w="567" w:type="dxa"/>
            <w:vMerge w:val="restart"/>
            <w:shd w:val="clear" w:color="auto" w:fill="auto"/>
            <w:hideMark/>
          </w:tcPr>
          <w:p w:rsidR="009F4652" w:rsidRPr="00254FA7" w:rsidRDefault="009F4652" w:rsidP="00B6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9F4652" w:rsidRPr="00254FA7" w:rsidRDefault="009F4652" w:rsidP="00254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муниципальных конкурсов, в том числе: «Педагог года города </w:t>
            </w: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»; конкурсного отбора лучших образовательных учреждений; конкурсного отбора молодых специалистов на получение премии главы города </w:t>
            </w: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«Признание».</w:t>
            </w:r>
          </w:p>
          <w:p w:rsidR="009F4652" w:rsidRDefault="009F4652" w:rsidP="00005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региональных конкурсах профессионального мастерства педагогов, конкурсы лучших образовательных организаций</w:t>
            </w:r>
          </w:p>
          <w:p w:rsidR="009F4652" w:rsidRPr="00254FA7" w:rsidRDefault="009F4652" w:rsidP="00005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652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конференциях, семинарах и других мероприятиях работников Управления образования и работников муниципальных учреждений, подведомственных Управлению образования</w:t>
            </w:r>
          </w:p>
        </w:tc>
        <w:tc>
          <w:tcPr>
            <w:tcW w:w="2977" w:type="dxa"/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4" w:type="dxa"/>
            <w:vMerge w:val="restart"/>
            <w:shd w:val="clear" w:color="auto" w:fill="auto"/>
          </w:tcPr>
          <w:p w:rsidR="009F4652" w:rsidRPr="00254FA7" w:rsidRDefault="009F4652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54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1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административно-управленческого и педагогического персонала общеобразовательных организаций, прошедших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F4652" w:rsidRPr="00254FA7" w:rsidRDefault="009F4652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Характеризует качественный состав административно-управленческого персонала, его готовность к внедрению новых образовательных стандартов, </w:t>
            </w:r>
            <w:proofErr w:type="gram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экономических механизмов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модернизации образования в целом.</w:t>
            </w:r>
          </w:p>
          <w:p w:rsidR="009F4652" w:rsidRPr="00254FA7" w:rsidRDefault="009F4652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9F4652" w:rsidRPr="00254FA7" w:rsidRDefault="009F4652" w:rsidP="0006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ЧОпк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ЧОп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* 100, где:</w:t>
            </w:r>
          </w:p>
          <w:p w:rsidR="009F4652" w:rsidRPr="00254FA7" w:rsidRDefault="009F4652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ЧОпк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численность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(дополнительная информация образовательных организаций общего образования);</w:t>
            </w:r>
          </w:p>
          <w:p w:rsidR="009F4652" w:rsidRPr="00254FA7" w:rsidRDefault="009F4652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Чоп - численность административно-управленческого и педагогического персонала (без внешних совместителей) общеобразовательных организаций (периодическая отчетность, форма № ОО-1).</w:t>
            </w:r>
          </w:p>
          <w:p w:rsidR="009F4652" w:rsidRPr="00254FA7" w:rsidRDefault="009F4652" w:rsidP="00661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4652" w:rsidRPr="00254FA7" w:rsidRDefault="009F4652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4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Отношение среднего балла единого государственного экзамена (в расчете на 1 обязательный предмет) в 10% школ с лучшими результатами единого государственного экзамена к среднему баллу единого государственного экзамена (в расчете на 1 обязательный предмет) в 10% школ с худшими результатами единого государственного экзамена. </w:t>
            </w:r>
          </w:p>
          <w:p w:rsidR="009F4652" w:rsidRPr="00254FA7" w:rsidRDefault="009F4652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   Характеризует равенство доступа учащихся общеобразовательных организаций к качественным образовательным услугам общего образования, позволяет оценить эффективность предусмотренных муниципальной программой мер, направленных на снижение дифференциации (разрыва) в качестве образовательных результатов между школами.</w:t>
            </w:r>
          </w:p>
          <w:p w:rsidR="009F4652" w:rsidRPr="00254FA7" w:rsidRDefault="009F4652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9F4652" w:rsidRPr="00254FA7" w:rsidRDefault="009F4652" w:rsidP="0006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Arial" w:cs="Arial"/>
                  <w:sz w:val="20"/>
                  <w:szCs w:val="20"/>
                  <w:lang w:eastAsia="ru-RU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  <m:r>
                <m:rPr>
                  <m:sty m:val="p"/>
                </m:rPr>
                <w:rPr>
                  <w:rFonts w:ascii="Cambria Math" w:eastAsia="Times New Roman" w:hAnsi="Arial" w:cs="Arial"/>
                  <w:sz w:val="20"/>
                  <w:szCs w:val="20"/>
                  <w:lang w:eastAsia="ru-RU"/>
                </w:rPr>
                <m:t xml:space="preserve"> ,</m:t>
              </m:r>
            </m:oMath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9F4652" w:rsidRPr="00254FA7" w:rsidRDefault="009F4652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ki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участников (выпускников текущего года) образовательной организации, имеющих активный результат (далее - участники) по русскому языку,</w:t>
            </w:r>
          </w:p>
          <w:p w:rsidR="009F4652" w:rsidRPr="00254FA7" w:rsidRDefault="009F4652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xi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средний тестовый балл участников по русскому языку.</w:t>
            </w:r>
          </w:p>
          <w:p w:rsidR="009F4652" w:rsidRPr="00254FA7" w:rsidRDefault="009F4652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Таким образом, средний балл образовательной организации рассчитывается следующим образом:</w:t>
            </w:r>
          </w:p>
          <w:p w:rsidR="009F4652" w:rsidRPr="00254FA7" w:rsidRDefault="009F4652" w:rsidP="0006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Arial" w:cs="Arial"/>
                  <w:sz w:val="20"/>
                  <w:szCs w:val="20"/>
                  <w:lang w:eastAsia="ru-RU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рус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яз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рус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яз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рус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яз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="Times New Roman" w:hAnsi="Arial" w:cs="Arial"/>
                  <w:sz w:val="20"/>
                  <w:szCs w:val="20"/>
                  <w:lang w:eastAsia="ru-RU"/>
                </w:rPr>
                <m:t>,</m:t>
              </m:r>
            </m:oMath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где:</w:t>
            </w:r>
          </w:p>
          <w:p w:rsidR="009F4652" w:rsidRPr="00254FA7" w:rsidRDefault="009F4652" w:rsidP="0006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рус.яз</m:t>
                  </m:r>
                </m:sub>
              </m:sSub>
            </m:oMath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средний балл участников по русскому языку,</w:t>
            </w:r>
          </w:p>
          <w:p w:rsidR="009F4652" w:rsidRPr="00254FA7" w:rsidRDefault="009F4652" w:rsidP="0006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рус.яз</m:t>
                  </m:r>
                </m:sub>
              </m:sSub>
            </m:oMath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участников по русскому языку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F4652" w:rsidRPr="00254FA7" w:rsidRDefault="009F4652" w:rsidP="00661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4652" w:rsidRPr="00254FA7" w:rsidTr="00CC18C7">
        <w:trPr>
          <w:trHeight w:val="186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F4652" w:rsidRPr="00254FA7" w:rsidRDefault="009F4652" w:rsidP="00005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F4652" w:rsidRPr="00254FA7" w:rsidRDefault="002A2E20" w:rsidP="00BC6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«Образование», федеральный проект «Учитель будущего»</w:t>
            </w:r>
          </w:p>
        </w:tc>
        <w:tc>
          <w:tcPr>
            <w:tcW w:w="6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1FD6" w:rsidRPr="00254FA7" w:rsidTr="00661FD6">
        <w:tc>
          <w:tcPr>
            <w:tcW w:w="15276" w:type="dxa"/>
            <w:gridSpan w:val="5"/>
            <w:shd w:val="clear" w:color="auto" w:fill="auto"/>
          </w:tcPr>
          <w:p w:rsidR="00661FD6" w:rsidRPr="00254FA7" w:rsidRDefault="004672C2" w:rsidP="0066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Задача 2: </w:t>
            </w:r>
            <w:r w:rsidR="00254FA7"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C925FA" w:rsidRPr="00254FA7" w:rsidTr="002A2E20">
        <w:trPr>
          <w:trHeight w:val="1987"/>
        </w:trPr>
        <w:tc>
          <w:tcPr>
            <w:tcW w:w="567" w:type="dxa"/>
            <w:vMerge w:val="restart"/>
            <w:shd w:val="clear" w:color="auto" w:fill="auto"/>
            <w:hideMark/>
          </w:tcPr>
          <w:p w:rsidR="00C925FA" w:rsidRPr="00254FA7" w:rsidRDefault="00C925FA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54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925FA" w:rsidRPr="00254FA7" w:rsidRDefault="00C925FA" w:rsidP="00C925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системы оценки качества образования </w:t>
            </w:r>
          </w:p>
        </w:tc>
        <w:tc>
          <w:tcPr>
            <w:tcW w:w="3543" w:type="dxa"/>
            <w:shd w:val="clear" w:color="auto" w:fill="auto"/>
          </w:tcPr>
          <w:p w:rsidR="00C925FA" w:rsidRDefault="00C925FA" w:rsidP="00661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развитие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  <w:p w:rsidR="00C925FA" w:rsidRPr="00254FA7" w:rsidRDefault="00C925FA" w:rsidP="00661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925FA"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проведения комплексного мониторинга доступности услуг общего и дополнительного образования и удовлетворенности граждан их качеством, включая регулярные опросы населения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925FA" w:rsidRPr="00254FA7" w:rsidRDefault="00C925FA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Статьи 59, 95.1 Федерального закона от 29.12.2012 N 273-ФЗ «Об образовании в Российской Федерации»</w:t>
            </w:r>
          </w:p>
        </w:tc>
        <w:tc>
          <w:tcPr>
            <w:tcW w:w="6554" w:type="dxa"/>
            <w:vMerge w:val="restart"/>
            <w:shd w:val="clear" w:color="auto" w:fill="auto"/>
          </w:tcPr>
          <w:p w:rsidR="00C925FA" w:rsidRPr="00254FA7" w:rsidRDefault="00C925FA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4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Отношение среднего балла единого государственного экзамена (в расчете на 1 обязательный предмет) в 10% школ с лучшими результатами единого государственного экзамена к среднему баллу единого государственного экзамена (в расчете на 1 обязательный предмет) в 10% школ с худшими результатами единого государственного экзамена. </w:t>
            </w:r>
          </w:p>
          <w:p w:rsidR="00C925FA" w:rsidRPr="00254FA7" w:rsidRDefault="00C925FA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Характеризует равенство доступа учащихся общеобразовательных организаций к качественным образовательным услугам общего образования, позволяет оценить эффективность предусмотренных муниципальной программой мер, направленных на снижение дифференциации (разрыва) в качестве образовательных результатов между школами.</w:t>
            </w:r>
          </w:p>
          <w:p w:rsidR="00C925FA" w:rsidRPr="00254FA7" w:rsidRDefault="00C925FA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C925FA" w:rsidRPr="00254FA7" w:rsidRDefault="00C925FA" w:rsidP="00467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Arial" w:cs="Arial"/>
                  <w:sz w:val="20"/>
                  <w:szCs w:val="20"/>
                  <w:lang w:eastAsia="ru-RU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Arial" w:cs="Arial"/>
                              <w:sz w:val="20"/>
                              <w:szCs w:val="20"/>
                              <w:lang w:eastAsia="ru-RU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  <m:r>
                <m:rPr>
                  <m:sty m:val="p"/>
                </m:rPr>
                <w:rPr>
                  <w:rFonts w:ascii="Cambria Math" w:eastAsia="Times New Roman" w:hAnsi="Arial" w:cs="Arial"/>
                  <w:sz w:val="20"/>
                  <w:szCs w:val="20"/>
                  <w:lang w:eastAsia="ru-RU"/>
                </w:rPr>
                <m:t xml:space="preserve"> ,</m:t>
              </m:r>
            </m:oMath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C925FA" w:rsidRPr="00254FA7" w:rsidRDefault="00C925FA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ki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участников (выпускников текущего года) 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образовательной организации, имеющих активный результат (далее - участники) по русскому языку,</w:t>
            </w:r>
          </w:p>
          <w:p w:rsidR="00C925FA" w:rsidRPr="00254FA7" w:rsidRDefault="00C925FA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xi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средний тестовый балл участников по русскому языку.</w:t>
            </w:r>
          </w:p>
          <w:p w:rsidR="00C925FA" w:rsidRPr="00254FA7" w:rsidRDefault="00C925FA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Таким образом, средний балл образовательной организации рассчитывается следующим образом:</w:t>
            </w:r>
          </w:p>
          <w:p w:rsidR="00C925FA" w:rsidRPr="00254FA7" w:rsidRDefault="00C925FA" w:rsidP="00467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Arial" w:cs="Arial"/>
                  <w:sz w:val="20"/>
                  <w:szCs w:val="20"/>
                  <w:lang w:eastAsia="ru-RU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рус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яз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рус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яз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рус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Arial" w:cs="Arial"/>
                          <w:sz w:val="20"/>
                          <w:szCs w:val="20"/>
                          <w:lang w:eastAsia="ru-RU"/>
                        </w:rPr>
                        <m:t>яз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="Times New Roman" w:hAnsi="Arial" w:cs="Arial"/>
                  <w:sz w:val="20"/>
                  <w:szCs w:val="20"/>
                  <w:lang w:eastAsia="ru-RU"/>
                </w:rPr>
                <m:t>,</m:t>
              </m:r>
            </m:oMath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где:</w:t>
            </w:r>
          </w:p>
          <w:p w:rsidR="00C925FA" w:rsidRPr="00254FA7" w:rsidRDefault="00C925FA" w:rsidP="00467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рус.яз</m:t>
                  </m:r>
                </m:sub>
              </m:sSub>
            </m:oMath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средний балл участников по русскому языку,</w:t>
            </w:r>
          </w:p>
          <w:p w:rsidR="00C925FA" w:rsidRPr="00254FA7" w:rsidRDefault="00C925FA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рус.яз</m:t>
                  </m:r>
                </m:sub>
              </m:sSub>
            </m:oMath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участников по русскому языку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925FA" w:rsidRPr="00254FA7" w:rsidTr="00C925FA">
        <w:trPr>
          <w:trHeight w:val="733"/>
        </w:trPr>
        <w:tc>
          <w:tcPr>
            <w:tcW w:w="567" w:type="dxa"/>
            <w:vMerge/>
            <w:shd w:val="clear" w:color="auto" w:fill="auto"/>
          </w:tcPr>
          <w:p w:rsidR="00C925FA" w:rsidRPr="00254FA7" w:rsidRDefault="00C925FA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925FA" w:rsidRPr="00254FA7" w:rsidRDefault="00C925FA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925FA" w:rsidRPr="00254FA7" w:rsidRDefault="00C925FA" w:rsidP="00661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качества </w:t>
            </w:r>
            <w:proofErr w:type="gram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реализацией образовательных программ</w:t>
            </w:r>
          </w:p>
        </w:tc>
        <w:tc>
          <w:tcPr>
            <w:tcW w:w="2977" w:type="dxa"/>
            <w:vMerge/>
            <w:shd w:val="clear" w:color="auto" w:fill="auto"/>
          </w:tcPr>
          <w:p w:rsidR="00C925FA" w:rsidRPr="00254FA7" w:rsidRDefault="00C925FA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C925FA" w:rsidRPr="00254FA7" w:rsidRDefault="00C925FA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25FA" w:rsidRPr="00254FA7" w:rsidTr="00661FD6">
        <w:trPr>
          <w:trHeight w:val="3573"/>
        </w:trPr>
        <w:tc>
          <w:tcPr>
            <w:tcW w:w="567" w:type="dxa"/>
            <w:vMerge/>
            <w:shd w:val="clear" w:color="auto" w:fill="auto"/>
          </w:tcPr>
          <w:p w:rsidR="00C925FA" w:rsidRPr="00254FA7" w:rsidRDefault="00C925FA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925FA" w:rsidRPr="00254FA7" w:rsidRDefault="00C925FA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925FA" w:rsidRPr="00254FA7" w:rsidRDefault="00C925FA" w:rsidP="00C92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925FA"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рганизацию и проведение единого государственного экзамена, государственной итоговой аттестации;</w:t>
            </w:r>
          </w:p>
        </w:tc>
        <w:tc>
          <w:tcPr>
            <w:tcW w:w="2977" w:type="dxa"/>
            <w:vMerge/>
            <w:shd w:val="clear" w:color="auto" w:fill="auto"/>
          </w:tcPr>
          <w:p w:rsidR="00C925FA" w:rsidRPr="00254FA7" w:rsidRDefault="00C925FA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C925FA" w:rsidRPr="00254FA7" w:rsidRDefault="00C925FA" w:rsidP="00661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1FD6" w:rsidRPr="00254FA7" w:rsidTr="00661FD6">
        <w:tc>
          <w:tcPr>
            <w:tcW w:w="567" w:type="dxa"/>
            <w:shd w:val="clear" w:color="auto" w:fill="auto"/>
            <w:hideMark/>
          </w:tcPr>
          <w:p w:rsidR="00661FD6" w:rsidRPr="00254FA7" w:rsidRDefault="009C3668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661FD6" w:rsidRPr="00254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635" w:type="dxa"/>
            <w:shd w:val="clear" w:color="auto" w:fill="auto"/>
          </w:tcPr>
          <w:p w:rsidR="00661FD6" w:rsidRPr="00254FA7" w:rsidRDefault="004672C2" w:rsidP="00C925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информационной открытости муниципальной системы образования </w:t>
            </w:r>
          </w:p>
        </w:tc>
        <w:tc>
          <w:tcPr>
            <w:tcW w:w="3543" w:type="dxa"/>
            <w:shd w:val="clear" w:color="auto" w:fill="auto"/>
          </w:tcPr>
          <w:p w:rsidR="00661FD6" w:rsidRPr="00254FA7" w:rsidRDefault="00661FD6" w:rsidP="006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информационной открытости системы образования </w:t>
            </w:r>
            <w:r w:rsidR="004672C2"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города </w:t>
            </w:r>
            <w:proofErr w:type="spellStart"/>
            <w:r w:rsidR="004672C2"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целью предоставления 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‬б</w:t>
            </w:r>
            <w:proofErr w:type="gram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‬ди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‬мого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‬ 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‬бъема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‬нфо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‬рмa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‬ци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‬и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‬ 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вcем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учa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‬cтни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‬кa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‬м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 процесса (родителям, детям, педагогической общественности, заинтересованному населению </w:t>
            </w:r>
            <w:r w:rsidR="004672C2"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города </w:t>
            </w:r>
            <w:proofErr w:type="spellStart"/>
            <w:r w:rsidR="004672C2"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661FD6" w:rsidRDefault="00C925FA" w:rsidP="006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2469D"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нформационное сопровождение всероссийской олимпиады школьников по выявлению и поддержке талантливых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925FA" w:rsidRPr="00254FA7" w:rsidRDefault="00C925FA" w:rsidP="0066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9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дминистрирование сайта Управления образования; информационное сопровождение мероприятий муниципальной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977" w:type="dxa"/>
            <w:shd w:val="clear" w:color="auto" w:fill="auto"/>
          </w:tcPr>
          <w:p w:rsidR="00661FD6" w:rsidRPr="00254FA7" w:rsidRDefault="00661FD6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97 </w:t>
            </w:r>
            <w:r w:rsidRPr="00254FA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Федерального закона от 29.12.2012 № 273-ФЗ «Об образовании в Российской Федерации»</w:t>
            </w:r>
          </w:p>
        </w:tc>
        <w:tc>
          <w:tcPr>
            <w:tcW w:w="6554" w:type="dxa"/>
            <w:shd w:val="clear" w:color="auto" w:fill="auto"/>
          </w:tcPr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Показатель 3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Обеспеченность детей дошкольного возраста местами в дошкольных образовательных организациях (количество мест на 1000 детей).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Характеризует обеспеченность детей дошкольного возраста местами в дошкольных образовательных организациях.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Чмест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(ЧД1-6 - ЧД5-6оу)) * 1000, где: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Чмест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численность мест в дошкольных образовательных организациях (периодическая отчетность, форма № 85-К);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ЧД1-6 - численность населения в возрасте 1 - 6 лет (демографические данные населения в возрасте 1 - 6 лет);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ЧД5-6оу - численность обучающихся в общеобразовательных организациях в возрасте 5 - 6 лет (периодическая отчетность, форма № ОО-1).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54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5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Характеризует доступность дополнительного образования детей.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 wp14:anchorId="2F12F684" wp14:editId="0587E5B9">
                  <wp:extent cx="1915160" cy="466090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доля детей в возрасте от 5 до 18 лет, охваченных программами дополнительного образования;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услуг дополнительного образования, оказанных детям в возрасте от 5 до 18 лет;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общая численность детей в возрасте от 5 до 18 лет 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(демографические данные);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коэф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54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8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Доля негосударственных, в том числе некоммерческих, организаций, предоставляющих услуги в сфере образования, в общем числе организаций, предоставляющих услуги в сфере образования.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Характеризует обеспечение предоставления услуг в сфере образования негосударственными организациями.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proofErr w:type="gram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К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 100%, где: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негосударственных, в том числе некоммерческих, организаций, предоставляющих услуги в сфере образования;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число организаций, предоставляющих услуги в сфере образования</w:t>
            </w:r>
          </w:p>
          <w:p w:rsidR="009C3668" w:rsidRPr="00254FA7" w:rsidRDefault="009C3668" w:rsidP="009C36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254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9</w:t>
            </w: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. 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образования.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Характеризует обеспеченность населения услугами, предоставляемыми негосударственными организациями в сфере образования.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proofErr w:type="gram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К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о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* 100%, где:</w:t>
            </w:r>
          </w:p>
          <w:p w:rsidR="009C3668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граждан автономного округа, получающих услуги в негосударственных организациях (коммерческих, некоммерческих);</w:t>
            </w:r>
          </w:p>
          <w:p w:rsidR="00661FD6" w:rsidRPr="00254FA7" w:rsidRDefault="009C3668" w:rsidP="009C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о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общее число граждан автономного округа, получающих услуги в сфере образования</w:t>
            </w:r>
          </w:p>
        </w:tc>
      </w:tr>
      <w:tr w:rsidR="00661FD6" w:rsidRPr="00254FA7" w:rsidTr="00661FD6">
        <w:tc>
          <w:tcPr>
            <w:tcW w:w="15276" w:type="dxa"/>
            <w:gridSpan w:val="5"/>
            <w:shd w:val="clear" w:color="auto" w:fill="auto"/>
          </w:tcPr>
          <w:p w:rsidR="00661FD6" w:rsidRPr="00254FA7" w:rsidRDefault="009C3668" w:rsidP="0066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Задача 3: </w:t>
            </w:r>
            <w:r w:rsidR="00254FA7"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инфраструктуры и организационно-</w:t>
            </w:r>
            <w:proofErr w:type="gramStart"/>
            <w:r w:rsidR="00254FA7"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экономических механизмов</w:t>
            </w:r>
            <w:proofErr w:type="gramEnd"/>
            <w:r w:rsidR="00254FA7"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обеспечивающих равную доступность услуг дошкольного, общего и дополнительного образования детей</w:t>
            </w:r>
          </w:p>
        </w:tc>
      </w:tr>
      <w:tr w:rsidR="00661FD6" w:rsidRPr="00254FA7" w:rsidTr="00661FD6">
        <w:tc>
          <w:tcPr>
            <w:tcW w:w="567" w:type="dxa"/>
            <w:shd w:val="clear" w:color="auto" w:fill="auto"/>
          </w:tcPr>
          <w:p w:rsidR="00661FD6" w:rsidRPr="00254FA7" w:rsidRDefault="009C3668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61FD6"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635" w:type="dxa"/>
            <w:shd w:val="clear" w:color="auto" w:fill="auto"/>
          </w:tcPr>
          <w:p w:rsidR="00661FD6" w:rsidRPr="00254FA7" w:rsidRDefault="00F27F1B" w:rsidP="00C925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Финансовое и организационно-методическое обеспечение функционирования и модернизации муниципальной системы образования </w:t>
            </w:r>
          </w:p>
        </w:tc>
        <w:tc>
          <w:tcPr>
            <w:tcW w:w="3543" w:type="dxa"/>
            <w:shd w:val="clear" w:color="auto" w:fill="auto"/>
          </w:tcPr>
          <w:p w:rsidR="007C6332" w:rsidRPr="007C6332" w:rsidRDefault="00661FD6" w:rsidP="007C6332">
            <w:p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C6332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7C6332" w:rsidRPr="007C63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инансирование деятельности подведомственных учреждений сопровождающих материально-техническую, информационно-методическую и финансово-хозяйственную деятельность муниципальной системы образования. Обеспечение финансирования программных мероприятий, обеспечение методической и технической поддержки, функционирования и модернизации образования; </w:t>
            </w:r>
          </w:p>
          <w:p w:rsidR="007C6332" w:rsidRPr="007C6332" w:rsidRDefault="007C6332" w:rsidP="007C6332">
            <w:p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C6332">
              <w:rPr>
                <w:rFonts w:ascii="Times New Roman" w:eastAsia="Calibri" w:hAnsi="Times New Roman" w:cs="Times New Roman"/>
                <w:sz w:val="20"/>
                <w:szCs w:val="20"/>
              </w:rPr>
              <w:t>одержание органа местного самоуправления</w:t>
            </w:r>
          </w:p>
          <w:p w:rsidR="00661FD6" w:rsidRDefault="007C6332" w:rsidP="007C6332">
            <w:p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C6332"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рганизацию информационно-</w:t>
            </w:r>
            <w:r w:rsidRPr="007C63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технических мероприятий при проведен</w:t>
            </w:r>
            <w:proofErr w:type="gramStart"/>
            <w:r w:rsidRPr="007C6332">
              <w:rPr>
                <w:rFonts w:ascii="Times New Roman" w:eastAsia="Calibri" w:hAnsi="Times New Roman" w:cs="Times New Roman"/>
                <w:sz w:val="20"/>
                <w:szCs w:val="20"/>
              </w:rPr>
              <w:t>ии ау</w:t>
            </w:r>
            <w:proofErr w:type="gramEnd"/>
            <w:r w:rsidRPr="007C6332">
              <w:rPr>
                <w:rFonts w:ascii="Times New Roman" w:eastAsia="Calibri" w:hAnsi="Times New Roman" w:cs="Times New Roman"/>
                <w:sz w:val="20"/>
                <w:szCs w:val="20"/>
              </w:rPr>
              <w:t>кционов и закупок.</w:t>
            </w:r>
          </w:p>
          <w:p w:rsidR="009114E7" w:rsidRDefault="009114E7" w:rsidP="007C6332">
            <w:p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6332" w:rsidRPr="00254FA7" w:rsidRDefault="009114E7" w:rsidP="009114E7">
            <w:p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4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мероприятий по исполнению публичных обязательств перед физическими лицами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</w:t>
            </w:r>
            <w:r w:rsidRPr="009114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организациях и обеспечивающее материальную поддержку воспитания и </w:t>
            </w:r>
            <w:proofErr w:type="gramStart"/>
            <w:r w:rsidRPr="009114E7">
              <w:rPr>
                <w:rFonts w:ascii="Times New Roman" w:eastAsia="Calibri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9114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обучающихся и воспитанников в дошкольных образовательных организациях, общеобразовательных организациях, частных общеобразовательных организациях, частных организациях, осуществляющих образовательную деятельность по реализации образовательных программ дошкольного образования, расположенных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Югорске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61FD6" w:rsidRDefault="007C6332" w:rsidP="007C63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Федеральный закон от 06.10.2003 N 131-ФЗ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7C6332">
              <w:rPr>
                <w:rFonts w:ascii="Times New Roman" w:eastAsia="Calibri" w:hAnsi="Times New Roman" w:cs="Times New Roman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7C63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C6332" w:rsidRPr="00254FA7" w:rsidRDefault="007C6332" w:rsidP="007C63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32">
              <w:rPr>
                <w:rFonts w:ascii="Times New Roman" w:eastAsia="Calibri" w:hAnsi="Times New Roman" w:cs="Times New Roman"/>
                <w:sz w:val="20"/>
                <w:szCs w:val="20"/>
              </w:rPr>
              <w:t>Закон автономного округа от 21.02.2007 № 2-оз «О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</w:t>
            </w:r>
          </w:p>
        </w:tc>
        <w:tc>
          <w:tcPr>
            <w:tcW w:w="6554" w:type="dxa"/>
            <w:shd w:val="clear" w:color="auto" w:fill="auto"/>
          </w:tcPr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54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2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Отношение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очереди на получение в текущем году дошкольного образования.</w:t>
            </w:r>
            <w:proofErr w:type="gramEnd"/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Характеризует доступность дошкольного образования для детей в возрасте от 0 до 3 лет в автономном округе.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Чп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(0-3) / (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Чп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(0-3) + 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Чэ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(0-3)) * 100%, где: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Чп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(0-3) - численность детей в возрасте от 0 до 3 лет, получающих дошкольное образование в текущем году (данные мониторинга численности детей, получающих образовательные услуги по дошкольному образованию и (или) содержанию (присмотру и уходу));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Чэ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(0-3) - численность детей в возрасте от 0 до 3 лет, находящихся в очереди на получение в текущем году дошкольного образования (данные 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федеральной системы показателей электронной очереди по приему заявлений, постановке на учет и зачислению детей в дошкольные образовательные организации).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5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Характеризует доступность дополнительного образования детей.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 wp14:anchorId="49848D6C" wp14:editId="7D32504E">
                  <wp:extent cx="1915160" cy="466090"/>
                  <wp:effectExtent l="0" t="0" r="889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доля детей в возрасте от 5 до 18 лет, охваченных программами дополнительного образования;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услуг дополнительного образования, оказанных детям в возрасте от 5 до 18 лет;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общая численность детей в возрасте от 5 до 18 лет (демографические данные);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коэф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54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8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Доля негосударственных, в том числе некоммерческих, организаций, предоставляющих услуги в сфере образования, в общем числе организаций, предоставляющих услуги в сфере образования.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Характеризует обеспечение предоставления услуг в сфере образования негосударственными организациями.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proofErr w:type="gram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К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 100%, где: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негосударственных, в том числе некоммерческих, организаций, предоставляющих услуги в сфере образования;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число организаций, предоставляющих услуги в сфере образования</w:t>
            </w:r>
          </w:p>
          <w:p w:rsidR="00A91BCD" w:rsidRPr="00254FA7" w:rsidRDefault="00A91BCD" w:rsidP="00A9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254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9</w:t>
            </w: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. 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образования.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Характеризует обеспеченность населения услугами, предоставляемыми негосударственными организациями в сфере образования.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proofErr w:type="gram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К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о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* 100%, где:</w:t>
            </w:r>
          </w:p>
          <w:p w:rsidR="00A91BCD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граждан автономного округа, получающих услуги в негосударственных организациях (коммерческих, некоммерческих);</w:t>
            </w:r>
          </w:p>
          <w:p w:rsidR="00661FD6" w:rsidRPr="00254FA7" w:rsidRDefault="00A91BCD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о</w:t>
            </w:r>
            <w:proofErr w:type="gram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общее число граждан автономного округа, получающих услуги в сфере образования</w:t>
            </w:r>
          </w:p>
        </w:tc>
      </w:tr>
      <w:tr w:rsidR="004B5165" w:rsidRPr="00254FA7" w:rsidTr="004B5165">
        <w:trPr>
          <w:trHeight w:val="788"/>
        </w:trPr>
        <w:tc>
          <w:tcPr>
            <w:tcW w:w="567" w:type="dxa"/>
            <w:vMerge w:val="restart"/>
            <w:shd w:val="clear" w:color="auto" w:fill="auto"/>
          </w:tcPr>
          <w:p w:rsidR="004B5165" w:rsidRPr="00254FA7" w:rsidRDefault="004B5165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4B5165" w:rsidRPr="00254FA7" w:rsidRDefault="004B5165" w:rsidP="00C925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комплексной безопасности образовательных учреждений  </w:t>
            </w:r>
          </w:p>
        </w:tc>
        <w:tc>
          <w:tcPr>
            <w:tcW w:w="3543" w:type="dxa"/>
            <w:shd w:val="clear" w:color="auto" w:fill="auto"/>
          </w:tcPr>
          <w:p w:rsidR="004B5165" w:rsidRPr="00254FA7" w:rsidRDefault="004B5165" w:rsidP="009F4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165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обязательных требований санитарно-эпидемиологической, пожарной, антитеррористической безопасности.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B5165" w:rsidRPr="004B5165" w:rsidRDefault="004B5165" w:rsidP="004B51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165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25.04.2012 № 390 «О противопожарном режиме»;</w:t>
            </w:r>
          </w:p>
          <w:p w:rsidR="004B5165" w:rsidRPr="00254FA7" w:rsidRDefault="004B5165" w:rsidP="004B51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165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Российской Федерации от 19.01.2005 № 3 «О введении в действие СанПиН 2.3.2.1940-05»; приказ Министерства регионального развития Российской Федерации от 01.09.2009 № 390 «О внесении изменений в СНиП 2.08.02-89 «Общественные здания и сооружения, актуализированная редакция СНиП 31-06 – 2009»;</w:t>
            </w:r>
          </w:p>
        </w:tc>
        <w:tc>
          <w:tcPr>
            <w:tcW w:w="6554" w:type="dxa"/>
            <w:vMerge w:val="restart"/>
            <w:shd w:val="clear" w:color="auto" w:fill="auto"/>
          </w:tcPr>
          <w:p w:rsidR="004B5165" w:rsidRPr="00254FA7" w:rsidRDefault="004B5165" w:rsidP="00D82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6</w:t>
            </w:r>
            <w:r w:rsidRPr="0025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образования.</w:t>
            </w:r>
          </w:p>
          <w:p w:rsidR="004B5165" w:rsidRPr="00254FA7" w:rsidRDefault="004B5165" w:rsidP="00D82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Характеризует состояние зданий системы общего образования.</w:t>
            </w:r>
          </w:p>
          <w:p w:rsidR="004B5165" w:rsidRPr="00254FA7" w:rsidRDefault="004B5165" w:rsidP="00D82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Рассчитывается по формуле:</w:t>
            </w:r>
          </w:p>
          <w:p w:rsidR="004B5165" w:rsidRPr="00254FA7" w:rsidRDefault="004B5165" w:rsidP="00D8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ЧОоа</w:t>
            </w:r>
            <w:proofErr w:type="gram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,к</w:t>
            </w:r>
            <w:proofErr w:type="spellEnd"/>
            <w:proofErr w:type="gram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* 100, где:</w:t>
            </w:r>
          </w:p>
          <w:p w:rsidR="004B5165" w:rsidRPr="00254FA7" w:rsidRDefault="004B5165" w:rsidP="00D82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ЧОоа</w:t>
            </w:r>
            <w:proofErr w:type="gram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,к</w:t>
            </w:r>
            <w:proofErr w:type="spellEnd"/>
            <w:proofErr w:type="gram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численность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 (периодическая отчетность, форма № ОО-2);</w:t>
            </w:r>
          </w:p>
          <w:p w:rsidR="004B5165" w:rsidRPr="00254FA7" w:rsidRDefault="004B5165" w:rsidP="00D82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численность образовательных организаций, реализующих программы общего образования (периодическая отчетность, форма № ОО-2).</w:t>
            </w:r>
          </w:p>
          <w:p w:rsidR="004B5165" w:rsidRPr="00254FA7" w:rsidRDefault="004B5165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5165" w:rsidRPr="00254FA7" w:rsidRDefault="004B5165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7.</w:t>
            </w: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учреждений.</w:t>
            </w:r>
          </w:p>
          <w:p w:rsidR="004B5165" w:rsidRPr="00254FA7" w:rsidRDefault="004B5165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4B5165" w:rsidRPr="00254FA7" w:rsidRDefault="004B5165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Определяется отношением общеобразовательных организаций, оснащенных современным учебным оборудованием, к общей численности общеобразовательных организаций.</w:t>
            </w:r>
          </w:p>
          <w:p w:rsidR="004B5165" w:rsidRPr="00254FA7" w:rsidRDefault="004B5165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4B5165" w:rsidRPr="00254FA7" w:rsidRDefault="004B5165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ЧОоуосо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ЧОоу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* 100,</w:t>
            </w:r>
          </w:p>
          <w:p w:rsidR="004B5165" w:rsidRPr="00254FA7" w:rsidRDefault="004B5165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где: </w:t>
            </w:r>
          </w:p>
          <w:p w:rsidR="004B5165" w:rsidRPr="00254FA7" w:rsidRDefault="004B5165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ЧОоуосо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численность муниципальных общеобразовательных организаций, соответствующих современным требованиям обучения (дополнительные сведения);</w:t>
            </w:r>
          </w:p>
          <w:p w:rsidR="004B5165" w:rsidRPr="00254FA7" w:rsidRDefault="004B5165" w:rsidP="00A91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ЧОоу</w:t>
            </w:r>
            <w:proofErr w:type="spellEnd"/>
            <w:r w:rsidRPr="00254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общая численность муниципальных общеобразовательных организаций (периодическая отчетность, форма № ОО-1).</w:t>
            </w:r>
          </w:p>
          <w:p w:rsidR="004B5165" w:rsidRPr="00254FA7" w:rsidRDefault="004B5165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B5165" w:rsidRPr="00254FA7" w:rsidTr="00661FD6">
        <w:trPr>
          <w:trHeight w:val="2894"/>
        </w:trPr>
        <w:tc>
          <w:tcPr>
            <w:tcW w:w="567" w:type="dxa"/>
            <w:vMerge/>
            <w:shd w:val="clear" w:color="auto" w:fill="auto"/>
          </w:tcPr>
          <w:p w:rsidR="004B5165" w:rsidRPr="00254FA7" w:rsidRDefault="004B5165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B5165" w:rsidRPr="00254FA7" w:rsidRDefault="004B5165" w:rsidP="00C925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B5165" w:rsidRPr="004B5165" w:rsidRDefault="004B5165" w:rsidP="004B5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165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широкое внедрение в образовательных организациях энергосберегающих технологий.</w:t>
            </w:r>
          </w:p>
          <w:p w:rsidR="004B5165" w:rsidRPr="004B5165" w:rsidRDefault="004B5165" w:rsidP="004B5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165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комплексной безопасности и комфортных условий образовательного процесса предполагает разработку и внедрение в образовательных организациях энергосберегающих технологий (приобретение энергетического оборудования, оснащение зданий приборами учета используемых энергетических ресурсов, модернизация и реконструкция систем теплоснабжения, электроснабжения, сетей водоснабжения и канализации)</w:t>
            </w:r>
          </w:p>
        </w:tc>
        <w:tc>
          <w:tcPr>
            <w:tcW w:w="2977" w:type="dxa"/>
            <w:vMerge/>
            <w:shd w:val="clear" w:color="auto" w:fill="auto"/>
          </w:tcPr>
          <w:p w:rsidR="004B5165" w:rsidRPr="004B5165" w:rsidRDefault="004B5165" w:rsidP="004B51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4B5165" w:rsidRPr="00254FA7" w:rsidRDefault="004B5165" w:rsidP="00D82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4652" w:rsidRPr="00254FA7" w:rsidTr="00661FD6">
        <w:tc>
          <w:tcPr>
            <w:tcW w:w="567" w:type="dxa"/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35" w:type="dxa"/>
            <w:shd w:val="clear" w:color="auto" w:fill="auto"/>
          </w:tcPr>
          <w:p w:rsidR="009F4652" w:rsidRPr="00254FA7" w:rsidRDefault="009F4652" w:rsidP="00C925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материально-технической базы образовательных учреждений </w:t>
            </w:r>
          </w:p>
        </w:tc>
        <w:tc>
          <w:tcPr>
            <w:tcW w:w="3543" w:type="dxa"/>
            <w:shd w:val="clear" w:color="auto" w:fill="auto"/>
          </w:tcPr>
          <w:p w:rsidR="009F4652" w:rsidRPr="00AC43DF" w:rsidRDefault="009F4652" w:rsidP="00AC4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652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</w:t>
            </w:r>
            <w:r w:rsidRPr="00BC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материально-технической базы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</w:t>
            </w:r>
            <w:r w:rsidRPr="00AC43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риведение в соответствие с современными требованиями оснащения учреждений дошкольного образования: оснащение </w:t>
            </w:r>
            <w:proofErr w:type="gramStart"/>
            <w:r w:rsidRPr="00AC43DF">
              <w:rPr>
                <w:rFonts w:ascii="Times New Roman" w:eastAsia="Calibri" w:hAnsi="Times New Roman" w:cs="Times New Roman"/>
                <w:sz w:val="20"/>
                <w:szCs w:val="20"/>
              </w:rPr>
              <w:t>предметно-пространственная</w:t>
            </w:r>
            <w:proofErr w:type="gramEnd"/>
            <w:r w:rsidRPr="00AC43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среды, приобретение развивающего, игрового и интерактивного оборудования; приобретение программного обеспечения;</w:t>
            </w:r>
          </w:p>
          <w:p w:rsidR="009F4652" w:rsidRDefault="009F4652" w:rsidP="00AC4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AC43DF">
              <w:rPr>
                <w:rFonts w:ascii="Times New Roman" w:eastAsia="Calibri" w:hAnsi="Times New Roman" w:cs="Times New Roman"/>
                <w:sz w:val="20"/>
                <w:szCs w:val="20"/>
              </w:rPr>
              <w:t>риведение в соответствие с современными требованиями оснащения общеобразовательных учреждений: приобретение компьютерной техники, лабораторного оборудования, программного обеспечения, школьных технопарков; закупку развивающего и игрового оборудования.</w:t>
            </w:r>
          </w:p>
          <w:p w:rsidR="009F4652" w:rsidRPr="00254FA7" w:rsidRDefault="009F4652" w:rsidP="00AC4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F4652" w:rsidRDefault="009F4652" w:rsidP="00AC4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«Образование», федеральный проект «Современная школа»</w:t>
            </w:r>
          </w:p>
          <w:p w:rsidR="009F4652" w:rsidRPr="00254FA7" w:rsidRDefault="009F4652" w:rsidP="00AC4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4652" w:rsidRPr="00254FA7" w:rsidTr="00661FD6">
        <w:tc>
          <w:tcPr>
            <w:tcW w:w="567" w:type="dxa"/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635" w:type="dxa"/>
            <w:shd w:val="clear" w:color="auto" w:fill="auto"/>
          </w:tcPr>
          <w:p w:rsidR="009F4652" w:rsidRPr="00254FA7" w:rsidRDefault="009F4652" w:rsidP="00C925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Проектирование, строительство (реконструкция), приобретение </w:t>
            </w: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объектов, предназначенных для размещения муниципальных образовательных учреждений </w:t>
            </w:r>
          </w:p>
        </w:tc>
        <w:tc>
          <w:tcPr>
            <w:tcW w:w="3543" w:type="dxa"/>
            <w:shd w:val="clear" w:color="auto" w:fill="auto"/>
          </w:tcPr>
          <w:p w:rsidR="004B5165" w:rsidRPr="00254FA7" w:rsidRDefault="004B5165" w:rsidP="004B5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1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Строительство, реконструкцию зданий для размеще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 образовательных организаций.</w:t>
            </w:r>
            <w:r w:rsidRPr="004B5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Приобретение объектов недвижимого </w:t>
            </w:r>
            <w:r w:rsidRPr="004B51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имущества для размещения дошкольных и (или) общеобразовательных организаций</w:t>
            </w:r>
          </w:p>
        </w:tc>
        <w:tc>
          <w:tcPr>
            <w:tcW w:w="2977" w:type="dxa"/>
            <w:shd w:val="clear" w:color="auto" w:fill="auto"/>
          </w:tcPr>
          <w:p w:rsidR="009F4652" w:rsidRDefault="009F4652" w:rsidP="004B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Национальный проект «Образование», федеральный проект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Современная школа</w:t>
            </w:r>
            <w:r w:rsidRPr="00AC4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B5165" w:rsidRPr="00254FA7" w:rsidRDefault="004B5165" w:rsidP="004B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7</w:t>
            </w:r>
          </w:p>
        </w:tc>
        <w:tc>
          <w:tcPr>
            <w:tcW w:w="6554" w:type="dxa"/>
            <w:shd w:val="clear" w:color="auto" w:fill="auto"/>
          </w:tcPr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10. Количество сданных в эксплуатацию новых объектов, предназначенных для размещения образовательных организаций</w:t>
            </w: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Характеризует количество сданных в эксплуатацию новых объектов образовательных организаций в городе </w:t>
            </w: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Югорск</w:t>
            </w:r>
            <w:proofErr w:type="gram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spell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количестве 4 к 2030 </w:t>
            </w: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году).</w:t>
            </w:r>
          </w:p>
        </w:tc>
      </w:tr>
      <w:tr w:rsidR="009F4652" w:rsidRPr="00254FA7" w:rsidTr="00661FD6">
        <w:tc>
          <w:tcPr>
            <w:tcW w:w="567" w:type="dxa"/>
            <w:shd w:val="clear" w:color="auto" w:fill="auto"/>
          </w:tcPr>
          <w:p w:rsidR="009F4652" w:rsidRPr="00254FA7" w:rsidRDefault="009F4652" w:rsidP="0066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635" w:type="dxa"/>
            <w:shd w:val="clear" w:color="auto" w:fill="auto"/>
          </w:tcPr>
          <w:p w:rsidR="009F4652" w:rsidRPr="00254FA7" w:rsidRDefault="009F4652" w:rsidP="00C925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капитальных ремонтов зданий, сооружений, предназначенных для размещения муниципальных образовательных учреждений </w:t>
            </w:r>
          </w:p>
        </w:tc>
        <w:tc>
          <w:tcPr>
            <w:tcW w:w="3543" w:type="dxa"/>
            <w:shd w:val="clear" w:color="auto" w:fill="auto"/>
          </w:tcPr>
          <w:p w:rsidR="009F4652" w:rsidRPr="00254FA7" w:rsidRDefault="004B5165" w:rsidP="00661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капитальных ремонтов</w:t>
            </w:r>
            <w:r w:rsidRPr="004B5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зданий для размещения образовательных организаций.</w:t>
            </w:r>
          </w:p>
        </w:tc>
        <w:tc>
          <w:tcPr>
            <w:tcW w:w="2977" w:type="dxa"/>
            <w:shd w:val="clear" w:color="auto" w:fill="auto"/>
          </w:tcPr>
          <w:p w:rsidR="009F4652" w:rsidRPr="00254FA7" w:rsidRDefault="009F4652" w:rsidP="00661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«Образование», федеральный проект «Современная школа»</w:t>
            </w:r>
          </w:p>
        </w:tc>
        <w:tc>
          <w:tcPr>
            <w:tcW w:w="6554" w:type="dxa"/>
            <w:shd w:val="clear" w:color="auto" w:fill="auto"/>
          </w:tcPr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6</w:t>
            </w: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. 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образования.</w:t>
            </w: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Характеризует состояние зданий системы общего образования.</w:t>
            </w: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Рассчитывается по формуле:</w:t>
            </w: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ЧОоа</w:t>
            </w:r>
            <w:proofErr w:type="gram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spellEnd"/>
            <w:proofErr w:type="gram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ЧОо</w:t>
            </w:r>
            <w:proofErr w:type="spell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 100, где:</w:t>
            </w: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ЧОоа</w:t>
            </w:r>
            <w:proofErr w:type="gram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spellEnd"/>
            <w:proofErr w:type="gram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численность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 (периодическая отчетность, форма № ОО-2);</w:t>
            </w: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ЧОо</w:t>
            </w:r>
            <w:proofErr w:type="spell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численность образовательных организаций, реализующих программы общего образования (периодическая отчетность, форма № ОО-2).</w:t>
            </w: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7</w:t>
            </w: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учреждений.</w:t>
            </w: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Определяется отношением общеобразовательных организаций, оснащенных современным учебным оборудованием, к общей численности общеобразовательных организаций.</w:t>
            </w: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ЧОоуосо</w:t>
            </w:r>
            <w:proofErr w:type="spell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ЧОоу</w:t>
            </w:r>
            <w:proofErr w:type="spell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) * 100,</w:t>
            </w: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где: </w:t>
            </w: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ЧОоуосо</w:t>
            </w:r>
            <w:proofErr w:type="spell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численность муниципальных общеобразовательных организаций, соответствующих современным требованиям обучения (дополнительные сведения);</w:t>
            </w:r>
          </w:p>
          <w:p w:rsidR="009F4652" w:rsidRPr="00254FA7" w:rsidRDefault="009F4652" w:rsidP="009B7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>ЧОоу</w:t>
            </w:r>
            <w:proofErr w:type="spellEnd"/>
            <w:r w:rsidRPr="00254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общая численность муниципальных общеобразовательных организаций (периодическая отчетность, форма № ОО-1).</w:t>
            </w:r>
          </w:p>
        </w:tc>
      </w:tr>
    </w:tbl>
    <w:p w:rsidR="006C7BA1" w:rsidRDefault="0012469D" w:rsidP="00C925FA">
      <w:pPr>
        <w:autoSpaceDE w:val="0"/>
        <w:autoSpaceDN w:val="0"/>
        <w:spacing w:after="0" w:line="240" w:lineRule="auto"/>
        <w:jc w:val="both"/>
      </w:pPr>
      <w:proofErr w:type="gramStart"/>
      <w:r w:rsidRPr="0012469D">
        <w:rPr>
          <w:rFonts w:ascii="Times New Roman" w:eastAsia="Calibri" w:hAnsi="Times New Roman" w:cs="Times New Roman"/>
          <w:sz w:val="20"/>
          <w:szCs w:val="20"/>
        </w:rPr>
        <w:t xml:space="preserve">* Мероприятие включено </w:t>
      </w:r>
      <w:r w:rsidR="00167C98">
        <w:rPr>
          <w:rFonts w:ascii="Times New Roman" w:eastAsia="Calibri" w:hAnsi="Times New Roman" w:cs="Times New Roman"/>
          <w:sz w:val="20"/>
          <w:szCs w:val="20"/>
        </w:rPr>
        <w:t>муниципальную</w:t>
      </w:r>
      <w:r w:rsidRPr="0012469D">
        <w:rPr>
          <w:rFonts w:ascii="Times New Roman" w:eastAsia="Calibri" w:hAnsi="Times New Roman" w:cs="Times New Roman"/>
          <w:sz w:val="20"/>
          <w:szCs w:val="20"/>
        </w:rPr>
        <w:t xml:space="preserve"> программу по предложению члена Общественно</w:t>
      </w:r>
      <w:r w:rsidR="00167C98">
        <w:rPr>
          <w:rFonts w:ascii="Times New Roman" w:eastAsia="Calibri" w:hAnsi="Times New Roman" w:cs="Times New Roman"/>
          <w:sz w:val="20"/>
          <w:szCs w:val="20"/>
        </w:rPr>
        <w:t>го совета по проведению независимой оценки качества условий осуществления образовательной деятельности муниципальными образовательными организациями</w:t>
      </w:r>
      <w:r w:rsidRPr="0012469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167C98">
        <w:rPr>
          <w:rFonts w:ascii="Times New Roman" w:eastAsia="Calibri" w:hAnsi="Times New Roman" w:cs="Times New Roman"/>
          <w:sz w:val="20"/>
          <w:szCs w:val="20"/>
        </w:rPr>
        <w:t>Н.И. Вороновым</w:t>
      </w:r>
      <w:r w:rsidR="00C925F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C925FA" w:rsidRPr="00C925FA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r w:rsidR="00C925FA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925FA" w:rsidRPr="00C925FA">
        <w:rPr>
          <w:rFonts w:ascii="Times New Roman" w:eastAsia="Calibri" w:hAnsi="Times New Roman" w:cs="Times New Roman"/>
          <w:sz w:val="20"/>
          <w:szCs w:val="20"/>
        </w:rPr>
        <w:t xml:space="preserve"> стратегической сессии по реализации приоритетных Национальных проектов, обозначенных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6C7BA1">
        <w:br w:type="page"/>
      </w:r>
      <w:proofErr w:type="gramEnd"/>
    </w:p>
    <w:p w:rsidR="004672C2" w:rsidRPr="0021218F" w:rsidRDefault="004672C2" w:rsidP="004672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218F">
        <w:rPr>
          <w:rFonts w:ascii="Times New Roman" w:eastAsia="Calibri" w:hAnsi="Times New Roman" w:cs="Times New Roman"/>
          <w:sz w:val="24"/>
          <w:szCs w:val="24"/>
        </w:rPr>
        <w:lastRenderedPageBreak/>
        <w:t>Таблица 5</w:t>
      </w:r>
    </w:p>
    <w:p w:rsidR="004672C2" w:rsidRPr="0021218F" w:rsidRDefault="004672C2" w:rsidP="004672C2">
      <w:pPr>
        <w:widowControl w:val="0"/>
        <w:autoSpaceDE w:val="0"/>
        <w:autoSpaceDN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672C2" w:rsidRPr="0021218F" w:rsidRDefault="004672C2" w:rsidP="004672C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1218F">
        <w:rPr>
          <w:rFonts w:ascii="Times New Roman" w:eastAsia="Calibri" w:hAnsi="Times New Roman" w:cs="Times New Roman"/>
          <w:sz w:val="24"/>
          <w:szCs w:val="24"/>
        </w:rPr>
        <w:t>Сводные показатели муниципальных заданий</w:t>
      </w:r>
    </w:p>
    <w:p w:rsidR="004672C2" w:rsidRDefault="004672C2" w:rsidP="004672C2">
      <w:pPr>
        <w:autoSpaceDE w:val="0"/>
        <w:autoSpaceDN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08"/>
        <w:gridCol w:w="1594"/>
        <w:gridCol w:w="1134"/>
        <w:gridCol w:w="1134"/>
        <w:gridCol w:w="1134"/>
        <w:gridCol w:w="1180"/>
        <w:gridCol w:w="1134"/>
        <w:gridCol w:w="1276"/>
        <w:gridCol w:w="992"/>
        <w:gridCol w:w="992"/>
        <w:gridCol w:w="1276"/>
      </w:tblGrid>
      <w:tr w:rsidR="004672C2" w:rsidRPr="0021218F" w:rsidTr="00B765E7">
        <w:trPr>
          <w:trHeight w:val="730"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муниципальных услуг (работ)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8976" w:type="dxa"/>
            <w:gridSpan w:val="8"/>
            <w:shd w:val="clear" w:color="auto" w:fill="auto"/>
            <w:vAlign w:val="center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4672C2" w:rsidRPr="0021218F" w:rsidTr="002A46E4">
        <w:tc>
          <w:tcPr>
            <w:tcW w:w="680" w:type="dxa"/>
            <w:vMerge/>
            <w:shd w:val="clear" w:color="auto" w:fill="auto"/>
            <w:hideMark/>
          </w:tcPr>
          <w:p w:rsidR="004672C2" w:rsidRPr="0021218F" w:rsidRDefault="004672C2" w:rsidP="002A46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shd w:val="clear" w:color="auto" w:fill="auto"/>
            <w:hideMark/>
          </w:tcPr>
          <w:p w:rsidR="004672C2" w:rsidRPr="0021218F" w:rsidRDefault="004672C2" w:rsidP="002A46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hideMark/>
          </w:tcPr>
          <w:p w:rsidR="004672C2" w:rsidRPr="0021218F" w:rsidRDefault="004672C2" w:rsidP="002A46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72C2" w:rsidRPr="0021218F" w:rsidRDefault="004672C2" w:rsidP="00B76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72C2" w:rsidRPr="0021218F" w:rsidRDefault="004672C2" w:rsidP="00B76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72C2" w:rsidRPr="0021218F" w:rsidRDefault="004672C2" w:rsidP="00B76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1180" w:type="dxa"/>
            <w:vAlign w:val="center"/>
          </w:tcPr>
          <w:p w:rsidR="004672C2" w:rsidRPr="0021218F" w:rsidRDefault="004672C2" w:rsidP="002A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vAlign w:val="center"/>
          </w:tcPr>
          <w:p w:rsidR="004672C2" w:rsidRPr="0021218F" w:rsidRDefault="004672C2" w:rsidP="002A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4672C2" w:rsidRPr="0021218F" w:rsidRDefault="004672C2" w:rsidP="002A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4672C2" w:rsidRPr="0021218F" w:rsidRDefault="004672C2" w:rsidP="002A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4672C2" w:rsidRPr="0021218F" w:rsidRDefault="004672C2" w:rsidP="002A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4672C2" w:rsidRPr="0021218F" w:rsidRDefault="004672C2" w:rsidP="002A46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72C2" w:rsidRPr="0021218F" w:rsidTr="002A46E4">
        <w:tc>
          <w:tcPr>
            <w:tcW w:w="680" w:type="dxa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8" w:type="dxa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0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4672C2" w:rsidRPr="0021218F" w:rsidTr="002A46E4">
        <w:tc>
          <w:tcPr>
            <w:tcW w:w="680" w:type="dxa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8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159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2666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2684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1180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1134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1276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992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992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1276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</w:tr>
      <w:tr w:rsidR="004672C2" w:rsidRPr="0021218F" w:rsidTr="002A46E4">
        <w:tc>
          <w:tcPr>
            <w:tcW w:w="680" w:type="dxa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8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4672C2" w:rsidRPr="0021218F" w:rsidRDefault="004672C2" w:rsidP="002A46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2666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2684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1180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1134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1276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992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992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1276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</w:tr>
      <w:tr w:rsidR="004672C2" w:rsidRPr="0021218F" w:rsidTr="002A46E4">
        <w:tc>
          <w:tcPr>
            <w:tcW w:w="680" w:type="dxa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8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594" w:type="dxa"/>
            <w:shd w:val="clear" w:color="auto" w:fill="auto"/>
          </w:tcPr>
          <w:p w:rsidR="004672C2" w:rsidRPr="0021218F" w:rsidRDefault="004672C2" w:rsidP="002A46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2290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2349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2415</w:t>
            </w:r>
          </w:p>
        </w:tc>
        <w:tc>
          <w:tcPr>
            <w:tcW w:w="1180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2486</w:t>
            </w:r>
          </w:p>
        </w:tc>
        <w:tc>
          <w:tcPr>
            <w:tcW w:w="1134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2519</w:t>
            </w:r>
          </w:p>
        </w:tc>
        <w:tc>
          <w:tcPr>
            <w:tcW w:w="1276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2528</w:t>
            </w:r>
          </w:p>
        </w:tc>
        <w:tc>
          <w:tcPr>
            <w:tcW w:w="992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2492</w:t>
            </w:r>
          </w:p>
        </w:tc>
        <w:tc>
          <w:tcPr>
            <w:tcW w:w="992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2128</w:t>
            </w:r>
          </w:p>
        </w:tc>
        <w:tc>
          <w:tcPr>
            <w:tcW w:w="1276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2128</w:t>
            </w:r>
          </w:p>
        </w:tc>
      </w:tr>
      <w:tr w:rsidR="004672C2" w:rsidRPr="0021218F" w:rsidTr="002A46E4">
        <w:tc>
          <w:tcPr>
            <w:tcW w:w="680" w:type="dxa"/>
            <w:shd w:val="clear" w:color="auto" w:fill="auto"/>
          </w:tcPr>
          <w:p w:rsidR="004672C2" w:rsidRPr="0021218F" w:rsidRDefault="00B765E7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94" w:type="dxa"/>
            <w:shd w:val="clear" w:color="auto" w:fill="auto"/>
          </w:tcPr>
          <w:p w:rsidR="004672C2" w:rsidRPr="0021218F" w:rsidRDefault="004672C2" w:rsidP="002A46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2501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2565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2630</w:t>
            </w:r>
          </w:p>
        </w:tc>
        <w:tc>
          <w:tcPr>
            <w:tcW w:w="1180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2727</w:t>
            </w:r>
          </w:p>
        </w:tc>
        <w:tc>
          <w:tcPr>
            <w:tcW w:w="1134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2837</w:t>
            </w:r>
          </w:p>
        </w:tc>
        <w:tc>
          <w:tcPr>
            <w:tcW w:w="1276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992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2969</w:t>
            </w:r>
          </w:p>
        </w:tc>
        <w:tc>
          <w:tcPr>
            <w:tcW w:w="992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2994</w:t>
            </w:r>
          </w:p>
        </w:tc>
        <w:tc>
          <w:tcPr>
            <w:tcW w:w="1276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2994</w:t>
            </w:r>
          </w:p>
        </w:tc>
      </w:tr>
      <w:tr w:rsidR="004672C2" w:rsidRPr="0021218F" w:rsidTr="002A46E4">
        <w:tc>
          <w:tcPr>
            <w:tcW w:w="680" w:type="dxa"/>
            <w:shd w:val="clear" w:color="auto" w:fill="auto"/>
          </w:tcPr>
          <w:p w:rsidR="004672C2" w:rsidRPr="0021218F" w:rsidRDefault="00B765E7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8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594" w:type="dxa"/>
            <w:shd w:val="clear" w:color="auto" w:fill="auto"/>
          </w:tcPr>
          <w:p w:rsidR="004672C2" w:rsidRPr="0021218F" w:rsidRDefault="004672C2" w:rsidP="002A46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1180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134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1276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992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992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1276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588</w:t>
            </w:r>
          </w:p>
        </w:tc>
      </w:tr>
      <w:tr w:rsidR="004672C2" w:rsidRPr="0021218F" w:rsidTr="002A46E4">
        <w:tc>
          <w:tcPr>
            <w:tcW w:w="680" w:type="dxa"/>
            <w:shd w:val="clear" w:color="auto" w:fill="auto"/>
          </w:tcPr>
          <w:p w:rsidR="004672C2" w:rsidRPr="0021218F" w:rsidRDefault="00B765E7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8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159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чел/час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21717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21717</w:t>
            </w:r>
          </w:p>
        </w:tc>
        <w:tc>
          <w:tcPr>
            <w:tcW w:w="1134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21717</w:t>
            </w:r>
          </w:p>
        </w:tc>
        <w:tc>
          <w:tcPr>
            <w:tcW w:w="1180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21717</w:t>
            </w:r>
          </w:p>
        </w:tc>
        <w:tc>
          <w:tcPr>
            <w:tcW w:w="1134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21717</w:t>
            </w:r>
          </w:p>
        </w:tc>
        <w:tc>
          <w:tcPr>
            <w:tcW w:w="1276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21717</w:t>
            </w:r>
          </w:p>
        </w:tc>
        <w:tc>
          <w:tcPr>
            <w:tcW w:w="992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21717</w:t>
            </w:r>
          </w:p>
        </w:tc>
        <w:tc>
          <w:tcPr>
            <w:tcW w:w="992" w:type="dxa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21717</w:t>
            </w:r>
          </w:p>
        </w:tc>
        <w:tc>
          <w:tcPr>
            <w:tcW w:w="1276" w:type="dxa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21717</w:t>
            </w:r>
          </w:p>
        </w:tc>
      </w:tr>
    </w:tbl>
    <w:p w:rsidR="004672C2" w:rsidRDefault="004672C2" w:rsidP="008F30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C7BA1" w:rsidRPr="006C7BA1" w:rsidRDefault="006C7BA1" w:rsidP="006C7BA1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B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6 </w:t>
      </w:r>
    </w:p>
    <w:p w:rsidR="006C7BA1" w:rsidRPr="006C7BA1" w:rsidRDefault="006C7BA1" w:rsidP="006C7BA1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7BA1" w:rsidRPr="006C7BA1" w:rsidRDefault="006C7BA1" w:rsidP="006C7BA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A1">
        <w:rPr>
          <w:rFonts w:ascii="Times New Roman" w:eastAsia="Calibri" w:hAnsi="Times New Roman" w:cs="Times New Roman"/>
          <w:sz w:val="24"/>
          <w:szCs w:val="24"/>
        </w:rPr>
        <w:t>Перечень возможных рисков при реализации муниципальной программы и мер по их преодолению</w:t>
      </w:r>
    </w:p>
    <w:p w:rsidR="006C7BA1" w:rsidRPr="006C7BA1" w:rsidRDefault="006C7BA1" w:rsidP="006C7BA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7718"/>
        <w:gridCol w:w="7194"/>
      </w:tblGrid>
      <w:tr w:rsidR="006C7BA1" w:rsidRPr="006C7BA1" w:rsidTr="008F30FD">
        <w:tc>
          <w:tcPr>
            <w:tcW w:w="505" w:type="dxa"/>
            <w:shd w:val="clear" w:color="auto" w:fill="auto"/>
            <w:hideMark/>
          </w:tcPr>
          <w:p w:rsidR="006C7BA1" w:rsidRPr="006C7BA1" w:rsidRDefault="006C7BA1" w:rsidP="006C7BA1">
            <w:pPr>
              <w:spacing w:after="0" w:line="240" w:lineRule="auto"/>
              <w:ind w:hanging="7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718" w:type="dxa"/>
            <w:shd w:val="clear" w:color="auto" w:fill="auto"/>
            <w:hideMark/>
          </w:tcPr>
          <w:p w:rsidR="006C7BA1" w:rsidRPr="006C7BA1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риска</w:t>
            </w:r>
          </w:p>
        </w:tc>
        <w:tc>
          <w:tcPr>
            <w:tcW w:w="7194" w:type="dxa"/>
            <w:shd w:val="clear" w:color="auto" w:fill="auto"/>
            <w:hideMark/>
          </w:tcPr>
          <w:p w:rsidR="006C7BA1" w:rsidRPr="006C7BA1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Меры по преодолению рисков</w:t>
            </w:r>
          </w:p>
        </w:tc>
      </w:tr>
      <w:tr w:rsidR="006C7BA1" w:rsidRPr="006C7BA1" w:rsidTr="008F30FD">
        <w:tc>
          <w:tcPr>
            <w:tcW w:w="505" w:type="dxa"/>
            <w:shd w:val="clear" w:color="auto" w:fill="auto"/>
            <w:hideMark/>
          </w:tcPr>
          <w:p w:rsidR="006C7BA1" w:rsidRPr="006C7BA1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8" w:type="dxa"/>
            <w:shd w:val="clear" w:color="auto" w:fill="auto"/>
            <w:hideMark/>
          </w:tcPr>
          <w:p w:rsidR="006C7BA1" w:rsidRPr="006C7BA1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4" w:type="dxa"/>
            <w:shd w:val="clear" w:color="auto" w:fill="auto"/>
            <w:hideMark/>
          </w:tcPr>
          <w:p w:rsidR="006C7BA1" w:rsidRPr="006C7BA1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C7BA1" w:rsidRPr="006C7BA1" w:rsidTr="008F30FD">
        <w:trPr>
          <w:trHeight w:val="801"/>
        </w:trPr>
        <w:tc>
          <w:tcPr>
            <w:tcW w:w="505" w:type="dxa"/>
            <w:shd w:val="clear" w:color="auto" w:fill="auto"/>
            <w:hideMark/>
          </w:tcPr>
          <w:p w:rsidR="006C7BA1" w:rsidRPr="006C7BA1" w:rsidRDefault="006C7BA1" w:rsidP="006C7BA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7718" w:type="dxa"/>
            <w:shd w:val="clear" w:color="auto" w:fill="auto"/>
          </w:tcPr>
          <w:p w:rsidR="006C7BA1" w:rsidRPr="006C7BA1" w:rsidRDefault="006C7BA1" w:rsidP="006C7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Финансово-экономические риски - недофинансирование мероприятий программы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связаны с возможным недофинансированием ряда программных мероприятий, в которых предполагается </w:t>
            </w:r>
            <w:proofErr w:type="spellStart"/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деятельности по достижению целей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программы.</w:t>
            </w:r>
          </w:p>
        </w:tc>
        <w:tc>
          <w:tcPr>
            <w:tcW w:w="7194" w:type="dxa"/>
            <w:shd w:val="clear" w:color="auto" w:fill="auto"/>
          </w:tcPr>
          <w:p w:rsidR="006C7BA1" w:rsidRPr="006C7BA1" w:rsidRDefault="006C7BA1" w:rsidP="006C7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Минимизация данных рисков возможна через заключение договоров о реализации программных мероприятий, направленных на достижение целей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программы, через институционализацию механизмов </w:t>
            </w:r>
            <w:proofErr w:type="spellStart"/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6C7BA1" w:rsidRPr="006C7BA1" w:rsidTr="008F30FD">
        <w:trPr>
          <w:trHeight w:val="565"/>
        </w:trPr>
        <w:tc>
          <w:tcPr>
            <w:tcW w:w="505" w:type="dxa"/>
            <w:shd w:val="clear" w:color="auto" w:fill="auto"/>
            <w:hideMark/>
          </w:tcPr>
          <w:p w:rsidR="006C7BA1" w:rsidRPr="006C7BA1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8" w:type="dxa"/>
            <w:shd w:val="clear" w:color="auto" w:fill="auto"/>
          </w:tcPr>
          <w:p w:rsidR="006C7BA1" w:rsidRPr="006C7BA1" w:rsidRDefault="006C7BA1" w:rsidP="006C7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Нормативные правовые риски - непринятие или несвоевременное принятие необходимых правовых актов, в том числе на федеральном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региональном 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уровн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ях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, внесение существенных изменений в проекты нормативных правовых актов, влияющих на программные мероприятия.</w:t>
            </w:r>
            <w:proofErr w:type="gramEnd"/>
          </w:p>
        </w:tc>
        <w:tc>
          <w:tcPr>
            <w:tcW w:w="7194" w:type="dxa"/>
            <w:shd w:val="clear" w:color="auto" w:fill="auto"/>
          </w:tcPr>
          <w:p w:rsidR="006C7BA1" w:rsidRPr="006C7BA1" w:rsidRDefault="006C7BA1" w:rsidP="006C7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Устранение риска возможно за счет своевременной подготовки нормативных правовых актов, регулирующих реализацию мероприятий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программы. Внесение изменений в действующие нормативные правовые акты и (или) принятие новых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правовых актов, касающихся сферы реализации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программы.</w:t>
            </w:r>
          </w:p>
        </w:tc>
      </w:tr>
      <w:tr w:rsidR="006C7BA1" w:rsidRPr="006C7BA1" w:rsidTr="008F30FD">
        <w:tc>
          <w:tcPr>
            <w:tcW w:w="505" w:type="dxa"/>
            <w:shd w:val="clear" w:color="auto" w:fill="auto"/>
            <w:hideMark/>
          </w:tcPr>
          <w:p w:rsidR="006C7BA1" w:rsidRPr="006C7BA1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8" w:type="dxa"/>
            <w:shd w:val="clear" w:color="auto" w:fill="auto"/>
          </w:tcPr>
          <w:p w:rsidR="006C7BA1" w:rsidRPr="006C7BA1" w:rsidRDefault="006C7BA1" w:rsidP="007B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Организационные и управленческие риски - недостаточная проработка вопросов, решаемых в программных мероприятиях, недостаточная подготовка управленческого персонала, неадекватность системы мониторинга реализации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программы, отставание от сроков реализации программных мероприятий, в том числе по причине невыполнения или ненадлежащего выполнения обязательств поставщиками и подрядчиками работ.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муниципальной программы, несогласованности действий основного исполнителя </w:t>
            </w:r>
            <w:r w:rsidR="007B315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 и соисполнителей </w:t>
            </w:r>
            <w:r w:rsidR="007B315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программы, низкому качеству реализации программных мероприятий на </w:t>
            </w:r>
            <w:r w:rsidR="007B31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муниципальном 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уровне и уровне образовательных организаций</w:t>
            </w:r>
            <w:r w:rsidR="007B31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94" w:type="dxa"/>
            <w:shd w:val="clear" w:color="auto" w:fill="auto"/>
          </w:tcPr>
          <w:p w:rsidR="006C7BA1" w:rsidRPr="006C7BA1" w:rsidRDefault="006C7BA1" w:rsidP="007B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Устранение риска возможно за счет обеспечения постоянного и оперативного мониторинга реализации </w:t>
            </w:r>
            <w:r w:rsidR="007B315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программы, а также за счет ее корректировки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</w:t>
            </w:r>
            <w:r w:rsidR="007B315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программы. Устранение (минимизация) рисков связано с качеством планирования реализации </w:t>
            </w:r>
            <w:r w:rsidR="007B315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программы, обеспечением мониторинга ее реализации и оперативного внесения необходимых изменений, в том числе перераспределением финансовых ресурсов в целях эффективного использования бюджетных средств.</w:t>
            </w:r>
            <w:r w:rsidR="007B31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C7BA1" w:rsidRPr="006C7BA1" w:rsidTr="008F30FD">
        <w:trPr>
          <w:trHeight w:val="756"/>
        </w:trPr>
        <w:tc>
          <w:tcPr>
            <w:tcW w:w="505" w:type="dxa"/>
            <w:shd w:val="clear" w:color="auto" w:fill="auto"/>
          </w:tcPr>
          <w:p w:rsidR="006C7BA1" w:rsidRPr="006C7BA1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8" w:type="dxa"/>
            <w:shd w:val="clear" w:color="auto" w:fill="auto"/>
          </w:tcPr>
          <w:p w:rsidR="006C7BA1" w:rsidRPr="006C7BA1" w:rsidRDefault="006C7BA1" w:rsidP="006C7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Социальные риски могут реализоваться в сопротивлении общественности изменениям, связанном с недостаточным освещением в средствах массовой информации, сети Интернет целей, задач и запланированных </w:t>
            </w:r>
            <w:r w:rsidR="001D1C4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программой результатов, с ошибками в реализации программных мероприятий, с планированием, недостаточно учитывающим социальные последствия.</w:t>
            </w:r>
          </w:p>
        </w:tc>
        <w:tc>
          <w:tcPr>
            <w:tcW w:w="7194" w:type="dxa"/>
            <w:shd w:val="clear" w:color="auto" w:fill="auto"/>
          </w:tcPr>
          <w:p w:rsidR="006C7BA1" w:rsidRPr="006C7BA1" w:rsidRDefault="006C7BA1" w:rsidP="00F2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Минимизация данного риска возможна за счет обеспечения широкого привлечения общественности к обсуждению целей, задач и механизмов развития образования,  а также публичного освещения хода и результатов реализации </w:t>
            </w:r>
            <w:r w:rsidR="001D1C4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программы. Важно также демонстрировать достижения реализации </w:t>
            </w:r>
            <w:r w:rsidR="00F22C59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="00F22C59"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C7BA1">
              <w:rPr>
                <w:rFonts w:ascii="Times New Roman" w:eastAsia="Calibri" w:hAnsi="Times New Roman" w:cs="Times New Roman"/>
                <w:sz w:val="18"/>
                <w:szCs w:val="18"/>
              </w:rPr>
              <w:t>программы и формировать группы лидеров.</w:t>
            </w:r>
          </w:p>
        </w:tc>
      </w:tr>
    </w:tbl>
    <w:p w:rsidR="00F22C59" w:rsidRDefault="00F22C59" w:rsidP="006C7BA1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22C59" w:rsidRPr="00F22C59" w:rsidRDefault="00F22C59" w:rsidP="00F22C5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22C59">
        <w:rPr>
          <w:rFonts w:ascii="Times New Roman" w:eastAsia="Calibri" w:hAnsi="Times New Roman" w:cs="Times New Roman"/>
          <w:sz w:val="24"/>
          <w:szCs w:val="24"/>
        </w:rPr>
        <w:lastRenderedPageBreak/>
        <w:t>Таблица 7</w:t>
      </w:r>
    </w:p>
    <w:p w:rsidR="00F22C59" w:rsidRPr="00F22C59" w:rsidRDefault="00F22C59" w:rsidP="00F22C5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C59">
        <w:rPr>
          <w:rFonts w:ascii="Times New Roman" w:eastAsia="Calibri" w:hAnsi="Times New Roman" w:cs="Times New Roman"/>
          <w:sz w:val="24"/>
          <w:szCs w:val="24"/>
        </w:rPr>
        <w:t>Перечень объектов капитального строительства</w:t>
      </w:r>
    </w:p>
    <w:tbl>
      <w:tblPr>
        <w:tblW w:w="163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346"/>
        <w:gridCol w:w="1497"/>
        <w:gridCol w:w="3544"/>
        <w:gridCol w:w="1134"/>
        <w:gridCol w:w="1701"/>
        <w:gridCol w:w="452"/>
        <w:gridCol w:w="1107"/>
        <w:gridCol w:w="16"/>
        <w:gridCol w:w="976"/>
        <w:gridCol w:w="1276"/>
        <w:gridCol w:w="398"/>
        <w:gridCol w:w="2154"/>
        <w:gridCol w:w="1178"/>
      </w:tblGrid>
      <w:tr w:rsidR="00F22C59" w:rsidRPr="00F22C59" w:rsidTr="004A266B">
        <w:trPr>
          <w:gridAfter w:val="1"/>
          <w:wAfter w:w="1178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C59" w:rsidRPr="00F22C59" w:rsidRDefault="00F22C59" w:rsidP="00F2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C59" w:rsidRPr="00F22C59" w:rsidRDefault="00F22C59" w:rsidP="00F2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C59" w:rsidRPr="00F22C59" w:rsidRDefault="00F22C59" w:rsidP="00F2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C59" w:rsidRPr="00F22C59" w:rsidRDefault="00F22C59" w:rsidP="00F2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C59" w:rsidRPr="00F22C59" w:rsidRDefault="00F22C59" w:rsidP="00F2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C59" w:rsidRPr="00F22C59" w:rsidRDefault="00F22C59" w:rsidP="00F2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C59" w:rsidRPr="00F22C59" w:rsidRDefault="00F22C59" w:rsidP="00F2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C59" w:rsidRPr="00F22C59" w:rsidRDefault="00F22C59" w:rsidP="00F2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C59" w:rsidRPr="00F22C59" w:rsidRDefault="00F22C59" w:rsidP="00F2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468" w:rsidRPr="00F56468" w:rsidTr="004A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26" w:type="dxa"/>
        </w:trPr>
        <w:tc>
          <w:tcPr>
            <w:tcW w:w="487" w:type="dxa"/>
            <w:gridSpan w:val="2"/>
            <w:shd w:val="clear" w:color="auto" w:fill="auto"/>
            <w:vAlign w:val="center"/>
          </w:tcPr>
          <w:p w:rsidR="00F56468" w:rsidRPr="00F56468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56468" w:rsidRPr="00F56468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:rsidR="00F56468" w:rsidRPr="00F56468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F56468" w:rsidRPr="00F56468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F56468" w:rsidRPr="00F56468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F56468" w:rsidRPr="00F56468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F56468" w:rsidRPr="00F56468" w:rsidTr="004A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26" w:type="dxa"/>
        </w:trPr>
        <w:tc>
          <w:tcPr>
            <w:tcW w:w="487" w:type="dxa"/>
            <w:gridSpan w:val="2"/>
            <w:shd w:val="clear" w:color="auto" w:fill="auto"/>
          </w:tcPr>
          <w:p w:rsidR="00F56468" w:rsidRPr="00F56468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8" w:type="dxa"/>
            <w:gridSpan w:val="5"/>
            <w:shd w:val="clear" w:color="auto" w:fill="auto"/>
          </w:tcPr>
          <w:p w:rsidR="00F56468" w:rsidRPr="00F56468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F56468" w:rsidRPr="00F56468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0" w:type="dxa"/>
            <w:gridSpan w:val="3"/>
            <w:shd w:val="clear" w:color="auto" w:fill="auto"/>
          </w:tcPr>
          <w:p w:rsidR="00F56468" w:rsidRPr="00F56468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F56468" w:rsidRPr="00F56468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B765E7" w:rsidRPr="00F56468" w:rsidTr="004A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26" w:type="dxa"/>
        </w:trPr>
        <w:tc>
          <w:tcPr>
            <w:tcW w:w="487" w:type="dxa"/>
            <w:gridSpan w:val="2"/>
            <w:shd w:val="clear" w:color="auto" w:fill="auto"/>
          </w:tcPr>
          <w:p w:rsidR="00B765E7" w:rsidRPr="00F56468" w:rsidRDefault="00B765E7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8" w:type="dxa"/>
            <w:gridSpan w:val="5"/>
            <w:shd w:val="clear" w:color="auto" w:fill="auto"/>
          </w:tcPr>
          <w:p w:rsidR="00B765E7" w:rsidRPr="00DC2D82" w:rsidRDefault="00B765E7" w:rsidP="00B7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Детский сад на 344 места, по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у: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Югорск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бульвар Сибирский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765E7" w:rsidRPr="00DC2D82" w:rsidRDefault="00B765E7" w:rsidP="008F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344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B765E7" w:rsidRPr="00DC2D82" w:rsidRDefault="00B765E7" w:rsidP="00B7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DC2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B765E7" w:rsidRPr="00DC2D82" w:rsidRDefault="00B765E7" w:rsidP="008F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B765E7" w:rsidRPr="00F56468" w:rsidTr="004A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26" w:type="dxa"/>
        </w:trPr>
        <w:tc>
          <w:tcPr>
            <w:tcW w:w="487" w:type="dxa"/>
            <w:gridSpan w:val="2"/>
            <w:shd w:val="clear" w:color="auto" w:fill="auto"/>
          </w:tcPr>
          <w:p w:rsidR="00B765E7" w:rsidRPr="00F56468" w:rsidRDefault="00B765E7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8" w:type="dxa"/>
            <w:gridSpan w:val="5"/>
            <w:shd w:val="clear" w:color="auto" w:fill="auto"/>
          </w:tcPr>
          <w:p w:rsidR="00B765E7" w:rsidRPr="00DC2D82" w:rsidRDefault="00B765E7" w:rsidP="0006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 (Общеобразовательная организация с углубленным изучением отдельных предметов с универсальной </w:t>
            </w:r>
            <w:proofErr w:type="spellStart"/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безбарьерной</w:t>
            </w:r>
            <w:proofErr w:type="spellEnd"/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средой)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765E7" w:rsidRPr="00DC2D82" w:rsidRDefault="00B765E7" w:rsidP="008F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B765E7" w:rsidRPr="00DC2D82" w:rsidRDefault="00B765E7" w:rsidP="00B7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B765E7" w:rsidRPr="00DC2D82" w:rsidRDefault="00B765E7" w:rsidP="008F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 (концессионное соглашение)</w:t>
            </w:r>
          </w:p>
        </w:tc>
      </w:tr>
      <w:tr w:rsidR="00B765E7" w:rsidRPr="00F56468" w:rsidTr="004A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26" w:type="dxa"/>
        </w:trPr>
        <w:tc>
          <w:tcPr>
            <w:tcW w:w="487" w:type="dxa"/>
            <w:gridSpan w:val="2"/>
            <w:shd w:val="clear" w:color="auto" w:fill="auto"/>
          </w:tcPr>
          <w:p w:rsidR="00B765E7" w:rsidRPr="00F56468" w:rsidRDefault="00B765E7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8" w:type="dxa"/>
            <w:gridSpan w:val="5"/>
            <w:shd w:val="clear" w:color="auto" w:fill="auto"/>
          </w:tcPr>
          <w:p w:rsidR="00B765E7" w:rsidRPr="00DC2D82" w:rsidRDefault="00B765E7" w:rsidP="0006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765E7" w:rsidRPr="00DC2D82" w:rsidRDefault="00B765E7" w:rsidP="008F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B765E7" w:rsidRPr="00DC2D82" w:rsidRDefault="00B765E7" w:rsidP="00B7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DC2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B765E7" w:rsidRPr="00DC2D82" w:rsidRDefault="00B765E7" w:rsidP="008F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B765E7" w:rsidRPr="00F56468" w:rsidTr="004A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26" w:type="dxa"/>
        </w:trPr>
        <w:tc>
          <w:tcPr>
            <w:tcW w:w="487" w:type="dxa"/>
            <w:gridSpan w:val="2"/>
            <w:shd w:val="clear" w:color="auto" w:fill="auto"/>
          </w:tcPr>
          <w:p w:rsidR="00B765E7" w:rsidRPr="00F56468" w:rsidRDefault="00B765E7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8" w:type="dxa"/>
            <w:gridSpan w:val="5"/>
            <w:shd w:val="clear" w:color="auto" w:fill="auto"/>
          </w:tcPr>
          <w:p w:rsidR="00B765E7" w:rsidRPr="00DC2D82" w:rsidRDefault="00B765E7" w:rsidP="0006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 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765E7" w:rsidRPr="00DC2D82" w:rsidRDefault="00B765E7" w:rsidP="008F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:rsidR="00B765E7" w:rsidRPr="00DC2D82" w:rsidRDefault="00B765E7" w:rsidP="00B7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DC2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B765E7" w:rsidRPr="00DC2D82" w:rsidRDefault="00B765E7" w:rsidP="008F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 (концессионное соглашение)</w:t>
            </w:r>
          </w:p>
        </w:tc>
      </w:tr>
    </w:tbl>
    <w:p w:rsidR="00F56468" w:rsidRPr="006C7BA1" w:rsidRDefault="00F56468" w:rsidP="00DC2D82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56468" w:rsidRPr="006C7BA1" w:rsidSect="004B372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D0E697E6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>
    <w:nsid w:val="0000000B"/>
    <w:multiLevelType w:val="singleLevel"/>
    <w:tmpl w:val="00B6B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>
    <w:nsid w:val="04D80083"/>
    <w:multiLevelType w:val="hybridMultilevel"/>
    <w:tmpl w:val="A8520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44F47"/>
    <w:multiLevelType w:val="hybridMultilevel"/>
    <w:tmpl w:val="28D4C95A"/>
    <w:lvl w:ilvl="0" w:tplc="7360A554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186ADA"/>
    <w:multiLevelType w:val="hybridMultilevel"/>
    <w:tmpl w:val="087CC2C4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D57060"/>
    <w:multiLevelType w:val="hybridMultilevel"/>
    <w:tmpl w:val="522AA96C"/>
    <w:lvl w:ilvl="0" w:tplc="1FF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B6A35"/>
    <w:multiLevelType w:val="multilevel"/>
    <w:tmpl w:val="731A0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E50A42"/>
    <w:multiLevelType w:val="hybridMultilevel"/>
    <w:tmpl w:val="8DAA1FBE"/>
    <w:lvl w:ilvl="0" w:tplc="A82EA140">
      <w:start w:val="1"/>
      <w:numFmt w:val="bullet"/>
      <w:lvlText w:val=""/>
      <w:lvlJc w:val="righ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476A5"/>
    <w:multiLevelType w:val="hybridMultilevel"/>
    <w:tmpl w:val="D5E2CC9E"/>
    <w:lvl w:ilvl="0" w:tplc="2CE843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E24EAA"/>
    <w:multiLevelType w:val="hybridMultilevel"/>
    <w:tmpl w:val="4704C806"/>
    <w:lvl w:ilvl="0" w:tplc="FD1A8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99221F"/>
    <w:multiLevelType w:val="hybridMultilevel"/>
    <w:tmpl w:val="4B683A1C"/>
    <w:lvl w:ilvl="0" w:tplc="D576A45A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D576A45A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49499D"/>
    <w:multiLevelType w:val="multilevel"/>
    <w:tmpl w:val="77AC5F0C"/>
    <w:lvl w:ilvl="0">
      <w:start w:val="1"/>
      <w:numFmt w:val="decimal"/>
      <w:lvlText w:val="%1."/>
      <w:lvlJc w:val="left"/>
      <w:pPr>
        <w:ind w:left="1654" w:hanging="945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F8F331D"/>
    <w:multiLevelType w:val="hybridMultilevel"/>
    <w:tmpl w:val="1F8ED544"/>
    <w:lvl w:ilvl="0" w:tplc="2CE84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33BE9"/>
    <w:multiLevelType w:val="hybridMultilevel"/>
    <w:tmpl w:val="49800530"/>
    <w:lvl w:ilvl="0" w:tplc="2CE84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17DC6"/>
    <w:multiLevelType w:val="hybridMultilevel"/>
    <w:tmpl w:val="7422C9BE"/>
    <w:lvl w:ilvl="0" w:tplc="CCDCD3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7AB35EE"/>
    <w:multiLevelType w:val="hybridMultilevel"/>
    <w:tmpl w:val="77069B1E"/>
    <w:lvl w:ilvl="0" w:tplc="C794EB1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8"/>
  </w:num>
  <w:num w:numId="5">
    <w:abstractNumId w:val="17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2"/>
  </w:num>
  <w:num w:numId="13">
    <w:abstractNumId w:val="14"/>
  </w:num>
  <w:num w:numId="14">
    <w:abstractNumId w:val="7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A3"/>
    <w:rsid w:val="00005BEF"/>
    <w:rsid w:val="00026947"/>
    <w:rsid w:val="00060794"/>
    <w:rsid w:val="00060C4C"/>
    <w:rsid w:val="00065815"/>
    <w:rsid w:val="000C038A"/>
    <w:rsid w:val="000E4D0B"/>
    <w:rsid w:val="001142A4"/>
    <w:rsid w:val="0012469D"/>
    <w:rsid w:val="00130E31"/>
    <w:rsid w:val="00167C98"/>
    <w:rsid w:val="00181218"/>
    <w:rsid w:val="001911F4"/>
    <w:rsid w:val="001C0CD4"/>
    <w:rsid w:val="001D1C45"/>
    <w:rsid w:val="001F3F24"/>
    <w:rsid w:val="001F7D8F"/>
    <w:rsid w:val="00203510"/>
    <w:rsid w:val="00205915"/>
    <w:rsid w:val="0021218F"/>
    <w:rsid w:val="002178F2"/>
    <w:rsid w:val="00254FA7"/>
    <w:rsid w:val="002646A3"/>
    <w:rsid w:val="00272DEC"/>
    <w:rsid w:val="00283CE0"/>
    <w:rsid w:val="002A2E20"/>
    <w:rsid w:val="002A46E4"/>
    <w:rsid w:val="002D44BF"/>
    <w:rsid w:val="0030604D"/>
    <w:rsid w:val="00347F0B"/>
    <w:rsid w:val="00375777"/>
    <w:rsid w:val="00375C38"/>
    <w:rsid w:val="00391F80"/>
    <w:rsid w:val="003C70DD"/>
    <w:rsid w:val="003C7715"/>
    <w:rsid w:val="004672C2"/>
    <w:rsid w:val="004A266B"/>
    <w:rsid w:val="004B372D"/>
    <w:rsid w:val="004B5165"/>
    <w:rsid w:val="004E33A2"/>
    <w:rsid w:val="00516156"/>
    <w:rsid w:val="005717DE"/>
    <w:rsid w:val="005B6BDD"/>
    <w:rsid w:val="005C77BD"/>
    <w:rsid w:val="005D6F1E"/>
    <w:rsid w:val="006276A2"/>
    <w:rsid w:val="00661FD6"/>
    <w:rsid w:val="00666C72"/>
    <w:rsid w:val="006A364B"/>
    <w:rsid w:val="006C7BA1"/>
    <w:rsid w:val="0071583B"/>
    <w:rsid w:val="00720C08"/>
    <w:rsid w:val="00722D93"/>
    <w:rsid w:val="00730BCF"/>
    <w:rsid w:val="00740BA7"/>
    <w:rsid w:val="007557CD"/>
    <w:rsid w:val="00777FC2"/>
    <w:rsid w:val="00787E45"/>
    <w:rsid w:val="007B3152"/>
    <w:rsid w:val="007C6332"/>
    <w:rsid w:val="008139FA"/>
    <w:rsid w:val="00816A62"/>
    <w:rsid w:val="0085164A"/>
    <w:rsid w:val="008561B8"/>
    <w:rsid w:val="00867A84"/>
    <w:rsid w:val="0087549F"/>
    <w:rsid w:val="008D05A8"/>
    <w:rsid w:val="008D59D9"/>
    <w:rsid w:val="008E0B5F"/>
    <w:rsid w:val="008E255B"/>
    <w:rsid w:val="008F056F"/>
    <w:rsid w:val="008F30FD"/>
    <w:rsid w:val="00900E17"/>
    <w:rsid w:val="00905D3F"/>
    <w:rsid w:val="009114E7"/>
    <w:rsid w:val="00927A6A"/>
    <w:rsid w:val="00934F00"/>
    <w:rsid w:val="0098468B"/>
    <w:rsid w:val="00991A65"/>
    <w:rsid w:val="009B7000"/>
    <w:rsid w:val="009C3668"/>
    <w:rsid w:val="009C7729"/>
    <w:rsid w:val="009F4652"/>
    <w:rsid w:val="00A2149C"/>
    <w:rsid w:val="00A31A3E"/>
    <w:rsid w:val="00A55928"/>
    <w:rsid w:val="00A81B39"/>
    <w:rsid w:val="00A91BCD"/>
    <w:rsid w:val="00AC43DF"/>
    <w:rsid w:val="00AF241F"/>
    <w:rsid w:val="00B36F57"/>
    <w:rsid w:val="00B61463"/>
    <w:rsid w:val="00B765E7"/>
    <w:rsid w:val="00BC6E91"/>
    <w:rsid w:val="00C11429"/>
    <w:rsid w:val="00C36DF3"/>
    <w:rsid w:val="00C925FA"/>
    <w:rsid w:val="00C95D07"/>
    <w:rsid w:val="00CA23D1"/>
    <w:rsid w:val="00CF75C0"/>
    <w:rsid w:val="00D03F58"/>
    <w:rsid w:val="00D43FEE"/>
    <w:rsid w:val="00D5345B"/>
    <w:rsid w:val="00D64207"/>
    <w:rsid w:val="00D820F8"/>
    <w:rsid w:val="00DC2D82"/>
    <w:rsid w:val="00DF4180"/>
    <w:rsid w:val="00E84396"/>
    <w:rsid w:val="00EC045B"/>
    <w:rsid w:val="00EF7D1B"/>
    <w:rsid w:val="00F04EA2"/>
    <w:rsid w:val="00F22C59"/>
    <w:rsid w:val="00F258E7"/>
    <w:rsid w:val="00F27F1B"/>
    <w:rsid w:val="00F35512"/>
    <w:rsid w:val="00F37695"/>
    <w:rsid w:val="00F527EC"/>
    <w:rsid w:val="00F56468"/>
    <w:rsid w:val="00F93660"/>
    <w:rsid w:val="00FB720B"/>
    <w:rsid w:val="00FD6F8A"/>
    <w:rsid w:val="00FD7202"/>
    <w:rsid w:val="00FE0B01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6BD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B6BD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5B6BD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B6BD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5B6BDD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B6BDD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4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qFormat/>
    <w:rsid w:val="002646A3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276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F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B6BDD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6BDD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5B6BD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5B6BD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5B6BDD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B6BDD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5B6BDD"/>
  </w:style>
  <w:style w:type="numbering" w:customStyle="1" w:styleId="110">
    <w:name w:val="Нет списка11"/>
    <w:next w:val="a2"/>
    <w:uiPriority w:val="99"/>
    <w:semiHidden/>
    <w:unhideWhenUsed/>
    <w:rsid w:val="005B6BDD"/>
  </w:style>
  <w:style w:type="paragraph" w:styleId="a6">
    <w:name w:val="Body Text"/>
    <w:basedOn w:val="a"/>
    <w:link w:val="a7"/>
    <w:unhideWhenUsed/>
    <w:rsid w:val="005B6BD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5B6BD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5B6B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5B6BDD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5B6BDD"/>
    <w:pPr>
      <w:widowControl w:val="0"/>
      <w:autoSpaceDE w:val="0"/>
      <w:autoSpaceDN w:val="0"/>
      <w:adjustRightInd w:val="0"/>
      <w:spacing w:after="0" w:line="240" w:lineRule="auto"/>
      <w:ind w:firstLine="698"/>
      <w:jc w:val="righ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B6BD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6BDD"/>
    <w:rPr>
      <w:rFonts w:ascii="Calibri" w:eastAsia="Calibri" w:hAnsi="Calibri" w:cs="Times New Roman"/>
    </w:rPr>
  </w:style>
  <w:style w:type="paragraph" w:styleId="aa">
    <w:name w:val="Normal (Web)"/>
    <w:basedOn w:val="a"/>
    <w:unhideWhenUsed/>
    <w:rsid w:val="005B6B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5B6BD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5B6BDD"/>
    <w:rPr>
      <w:rFonts w:ascii="Calibri" w:eastAsia="Calibri" w:hAnsi="Calibri" w:cs="Times New Roman"/>
    </w:rPr>
  </w:style>
  <w:style w:type="paragraph" w:customStyle="1" w:styleId="Pro-Gramma">
    <w:name w:val="Pro-Gramma"/>
    <w:basedOn w:val="a"/>
    <w:rsid w:val="005B6BDD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B6BD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B6BDD"/>
    <w:rPr>
      <w:rFonts w:ascii="Calibri" w:eastAsia="Times New Roman" w:hAnsi="Calibri" w:cs="Times New Roman"/>
      <w:sz w:val="16"/>
      <w:szCs w:val="16"/>
    </w:rPr>
  </w:style>
  <w:style w:type="paragraph" w:customStyle="1" w:styleId="Pro-Tab">
    <w:name w:val="Pro-Tab #"/>
    <w:basedOn w:val="a"/>
    <w:rsid w:val="005B6BDD"/>
    <w:pPr>
      <w:numPr>
        <w:numId w:val="7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5B6B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B6BDD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B6BDD"/>
    <w:rPr>
      <w:rFonts w:ascii="Calibri" w:eastAsia="Calibri" w:hAnsi="Calibri" w:cs="Times New Roman"/>
      <w:sz w:val="20"/>
      <w:szCs w:val="20"/>
    </w:rPr>
  </w:style>
  <w:style w:type="character" w:styleId="af0">
    <w:name w:val="page number"/>
    <w:basedOn w:val="a0"/>
    <w:rsid w:val="005B6BDD"/>
  </w:style>
  <w:style w:type="table" w:styleId="af1">
    <w:name w:val="Table Grid"/>
    <w:basedOn w:val="a1"/>
    <w:uiPriority w:val="59"/>
    <w:rsid w:val="005B6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semiHidden/>
    <w:unhideWhenUsed/>
    <w:rsid w:val="005B6B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5B6BDD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5B6BD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4">
    <w:name w:val="endnote text"/>
    <w:basedOn w:val="a"/>
    <w:link w:val="af5"/>
    <w:uiPriority w:val="99"/>
    <w:semiHidden/>
    <w:unhideWhenUsed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5B6BDD"/>
    <w:rPr>
      <w:vertAlign w:val="superscript"/>
    </w:rPr>
  </w:style>
  <w:style w:type="paragraph" w:styleId="af7">
    <w:name w:val="footnote text"/>
    <w:basedOn w:val="a"/>
    <w:link w:val="af8"/>
    <w:unhideWhenUsed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5B6BDD"/>
    <w:rPr>
      <w:vertAlign w:val="superscript"/>
    </w:rPr>
  </w:style>
  <w:style w:type="character" w:customStyle="1" w:styleId="c6">
    <w:name w:val="c6"/>
    <w:rsid w:val="005B6BDD"/>
  </w:style>
  <w:style w:type="character" w:customStyle="1" w:styleId="afa">
    <w:name w:val="Гипертекстовая ссылка"/>
    <w:basedOn w:val="a0"/>
    <w:uiPriority w:val="99"/>
    <w:rsid w:val="005B6BDD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5B6BDD"/>
    <w:rPr>
      <w:color w:val="800080"/>
      <w:u w:val="single"/>
    </w:rPr>
  </w:style>
  <w:style w:type="paragraph" w:customStyle="1" w:styleId="xl63">
    <w:name w:val="xl63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6B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B6B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B6B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B6B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B6B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B6BD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B6BD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B6B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B6BD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5B6BD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5B6BD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5B6BD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B6B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B6BD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B6BD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5B6B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5B6B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5B6B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5B6B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5B6B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B6BD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B6B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B6B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B6B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5B6BDD"/>
    <w:rPr>
      <w:i/>
      <w:iCs/>
    </w:rPr>
  </w:style>
  <w:style w:type="paragraph" w:customStyle="1" w:styleId="xl153">
    <w:name w:val="xl153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5B6B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B6B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5B6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6BD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B6BD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5B6BD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B6BD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5B6BDD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B6BDD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4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qFormat/>
    <w:rsid w:val="002646A3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276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F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B6BDD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6BDD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5B6BD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5B6BD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5B6BDD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B6BDD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5B6BDD"/>
  </w:style>
  <w:style w:type="numbering" w:customStyle="1" w:styleId="110">
    <w:name w:val="Нет списка11"/>
    <w:next w:val="a2"/>
    <w:uiPriority w:val="99"/>
    <w:semiHidden/>
    <w:unhideWhenUsed/>
    <w:rsid w:val="005B6BDD"/>
  </w:style>
  <w:style w:type="paragraph" w:styleId="a6">
    <w:name w:val="Body Text"/>
    <w:basedOn w:val="a"/>
    <w:link w:val="a7"/>
    <w:unhideWhenUsed/>
    <w:rsid w:val="005B6BD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5B6BD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5B6B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5B6BDD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5B6BDD"/>
    <w:pPr>
      <w:widowControl w:val="0"/>
      <w:autoSpaceDE w:val="0"/>
      <w:autoSpaceDN w:val="0"/>
      <w:adjustRightInd w:val="0"/>
      <w:spacing w:after="0" w:line="240" w:lineRule="auto"/>
      <w:ind w:firstLine="698"/>
      <w:jc w:val="righ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B6BD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6BDD"/>
    <w:rPr>
      <w:rFonts w:ascii="Calibri" w:eastAsia="Calibri" w:hAnsi="Calibri" w:cs="Times New Roman"/>
    </w:rPr>
  </w:style>
  <w:style w:type="paragraph" w:styleId="aa">
    <w:name w:val="Normal (Web)"/>
    <w:basedOn w:val="a"/>
    <w:unhideWhenUsed/>
    <w:rsid w:val="005B6B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5B6BD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5B6BDD"/>
    <w:rPr>
      <w:rFonts w:ascii="Calibri" w:eastAsia="Calibri" w:hAnsi="Calibri" w:cs="Times New Roman"/>
    </w:rPr>
  </w:style>
  <w:style w:type="paragraph" w:customStyle="1" w:styleId="Pro-Gramma">
    <w:name w:val="Pro-Gramma"/>
    <w:basedOn w:val="a"/>
    <w:rsid w:val="005B6BDD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B6BD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B6BDD"/>
    <w:rPr>
      <w:rFonts w:ascii="Calibri" w:eastAsia="Times New Roman" w:hAnsi="Calibri" w:cs="Times New Roman"/>
      <w:sz w:val="16"/>
      <w:szCs w:val="16"/>
    </w:rPr>
  </w:style>
  <w:style w:type="paragraph" w:customStyle="1" w:styleId="Pro-Tab">
    <w:name w:val="Pro-Tab #"/>
    <w:basedOn w:val="a"/>
    <w:rsid w:val="005B6BDD"/>
    <w:pPr>
      <w:numPr>
        <w:numId w:val="7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5B6B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B6BDD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B6BDD"/>
    <w:rPr>
      <w:rFonts w:ascii="Calibri" w:eastAsia="Calibri" w:hAnsi="Calibri" w:cs="Times New Roman"/>
      <w:sz w:val="20"/>
      <w:szCs w:val="20"/>
    </w:rPr>
  </w:style>
  <w:style w:type="character" w:styleId="af0">
    <w:name w:val="page number"/>
    <w:basedOn w:val="a0"/>
    <w:rsid w:val="005B6BDD"/>
  </w:style>
  <w:style w:type="table" w:styleId="af1">
    <w:name w:val="Table Grid"/>
    <w:basedOn w:val="a1"/>
    <w:uiPriority w:val="59"/>
    <w:rsid w:val="005B6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semiHidden/>
    <w:unhideWhenUsed/>
    <w:rsid w:val="005B6B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5B6BDD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5B6BD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4">
    <w:name w:val="endnote text"/>
    <w:basedOn w:val="a"/>
    <w:link w:val="af5"/>
    <w:uiPriority w:val="99"/>
    <w:semiHidden/>
    <w:unhideWhenUsed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5B6BDD"/>
    <w:rPr>
      <w:vertAlign w:val="superscript"/>
    </w:rPr>
  </w:style>
  <w:style w:type="paragraph" w:styleId="af7">
    <w:name w:val="footnote text"/>
    <w:basedOn w:val="a"/>
    <w:link w:val="af8"/>
    <w:unhideWhenUsed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5B6BDD"/>
    <w:rPr>
      <w:vertAlign w:val="superscript"/>
    </w:rPr>
  </w:style>
  <w:style w:type="character" w:customStyle="1" w:styleId="c6">
    <w:name w:val="c6"/>
    <w:rsid w:val="005B6BDD"/>
  </w:style>
  <w:style w:type="character" w:customStyle="1" w:styleId="afa">
    <w:name w:val="Гипертекстовая ссылка"/>
    <w:basedOn w:val="a0"/>
    <w:uiPriority w:val="99"/>
    <w:rsid w:val="005B6BDD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5B6BDD"/>
    <w:rPr>
      <w:color w:val="800080"/>
      <w:u w:val="single"/>
    </w:rPr>
  </w:style>
  <w:style w:type="paragraph" w:customStyle="1" w:styleId="xl63">
    <w:name w:val="xl63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6B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B6B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B6B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B6B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B6B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B6BD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B6BD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B6B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B6BD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5B6BD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5B6BD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5B6BD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B6B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B6BD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B6BD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5B6B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5B6B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5B6B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5B6B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5B6B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B6BD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B6B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B6B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B6B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5B6BDD"/>
    <w:rPr>
      <w:i/>
      <w:iCs/>
    </w:rPr>
  </w:style>
  <w:style w:type="paragraph" w:customStyle="1" w:styleId="xl153">
    <w:name w:val="xl153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5B6B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B6B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5B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9E29-524B-4644-AE9E-B091B991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38</Pages>
  <Words>13004</Words>
  <Characters>74127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Нерода</dc:creator>
  <cp:lastModifiedBy>Нерода</cp:lastModifiedBy>
  <cp:revision>59</cp:revision>
  <dcterms:created xsi:type="dcterms:W3CDTF">2018-10-10T03:01:00Z</dcterms:created>
  <dcterms:modified xsi:type="dcterms:W3CDTF">2018-10-19T12:36:00Z</dcterms:modified>
</cp:coreProperties>
</file>