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B" w:rsidRDefault="0056405B" w:rsidP="00564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56405B" w:rsidRDefault="0056405B" w:rsidP="0056405B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56405B" w:rsidRDefault="0056405B" w:rsidP="0056405B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56405B" w:rsidRDefault="0056405B" w:rsidP="0056405B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56405B" w:rsidRDefault="0056405B" w:rsidP="0056405B">
      <w:pPr>
        <w:ind w:left="-993"/>
        <w:jc w:val="both"/>
        <w:rPr>
          <w:rFonts w:ascii="PT Serif" w:hAnsi="PT Serif"/>
          <w:sz w:val="24"/>
        </w:rPr>
      </w:pPr>
    </w:p>
    <w:p w:rsidR="0056405B" w:rsidRDefault="0056405B" w:rsidP="0056405B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«02» июля 2019 г.                                                                                      № 0187300005819000128-1</w:t>
      </w:r>
    </w:p>
    <w:p w:rsidR="0056405B" w:rsidRDefault="0056405B" w:rsidP="0056405B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6405B" w:rsidRDefault="0056405B" w:rsidP="0056405B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6405B" w:rsidRDefault="0056405B" w:rsidP="0056405B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6405B" w:rsidRDefault="0056405B" w:rsidP="0056405B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6405B" w:rsidRDefault="0056405B" w:rsidP="0056405B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6405B" w:rsidRDefault="0056405B" w:rsidP="0056405B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0187300005819000128 на право заключения муниципального контракта на поставку жилых помещений.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635E94">
        <w:rPr>
          <w:rFonts w:ascii="PT Astra Serif" w:hAnsi="PT Astra Serif"/>
          <w:sz w:val="24"/>
          <w:szCs w:val="24"/>
        </w:rPr>
        <w:t>код аукциона 0187300005819000128</w:t>
      </w:r>
      <w:r>
        <w:rPr>
          <w:rFonts w:ascii="PT Astra Serif" w:hAnsi="PT Astra Serif"/>
          <w:sz w:val="24"/>
          <w:szCs w:val="24"/>
        </w:rPr>
        <w:t xml:space="preserve">, дата публикации 08.05.2019. 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6405B">
        <w:rPr>
          <w:rFonts w:ascii="PT Astra Serif" w:hAnsi="PT Astra Serif"/>
          <w:sz w:val="24"/>
          <w:szCs w:val="24"/>
        </w:rPr>
        <w:t>193862201149086220100100010026810412</w:t>
      </w:r>
      <w:r>
        <w:rPr>
          <w:rFonts w:ascii="PT Astra Serif" w:hAnsi="PT Astra Serif"/>
          <w:sz w:val="24"/>
          <w:szCs w:val="24"/>
        </w:rPr>
        <w:t>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02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«01» июля 2019г. 10 часов 00 минут была подана: 1 (одна) заявка на участие в аукционе (под номером № 173).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56405B">
        <w:rPr>
          <w:rFonts w:ascii="PT Astra Serif" w:hAnsi="PT Astra Serif"/>
          <w:sz w:val="24"/>
          <w:szCs w:val="24"/>
        </w:rPr>
        <w:t>6.1) о соответствии участника аукциона, подавшего единственную заявку на участие в аукционе, и</w:t>
      </w:r>
      <w:r>
        <w:rPr>
          <w:rFonts w:ascii="PT Astra Serif" w:hAnsi="PT Astra Serif"/>
          <w:sz w:val="24"/>
          <w:szCs w:val="24"/>
        </w:rPr>
        <w:t xml:space="preserve"> поданной им заявки № 173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Федерального закона).</w:t>
      </w:r>
      <w:proofErr w:type="gramEnd"/>
    </w:p>
    <w:p w:rsidR="0056405B" w:rsidRDefault="0056405B" w:rsidP="005640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</w:t>
      </w:r>
      <w:r>
        <w:rPr>
          <w:rFonts w:ascii="PT Serif" w:hAnsi="PT Serif"/>
          <w:sz w:val="24"/>
        </w:rPr>
        <w:t xml:space="preserve">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56405B" w:rsidTr="0056405B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56405B" w:rsidTr="0056405B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5B" w:rsidRDefault="005640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6486"/>
            </w:tblGrid>
            <w:tr w:rsidR="0056405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Чех Александр Юрьевич</w:t>
                  </w:r>
                </w:p>
              </w:tc>
            </w:tr>
            <w:tr w:rsidR="0056405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</w:tr>
            <w:tr w:rsidR="0056405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861500701045</w:t>
                  </w:r>
                </w:p>
              </w:tc>
            </w:tr>
            <w:tr w:rsidR="0056405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/>
              </w:tc>
            </w:tr>
            <w:tr w:rsidR="0056405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6405B" w:rsidRDefault="0056405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.Б</w:t>
                  </w:r>
                  <w:proofErr w:type="gramEnd"/>
                  <w:r>
                    <w:rPr>
                      <w:rFonts w:ascii="Calibri" w:hAnsi="Calibri"/>
                    </w:rPr>
                    <w:t>уряка</w:t>
                  </w:r>
                  <w:proofErr w:type="spellEnd"/>
                  <w:r>
                    <w:rPr>
                      <w:rFonts w:ascii="Calibri" w:hAnsi="Calibri"/>
                    </w:rPr>
                    <w:t>, д.7 б - 4</w:t>
                  </w:r>
                </w:p>
              </w:tc>
            </w:tr>
          </w:tbl>
          <w:p w:rsidR="0056405B" w:rsidRDefault="005640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6405B" w:rsidRDefault="0056405B" w:rsidP="0056405B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sz w:val="24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56405B" w:rsidRDefault="0056405B" w:rsidP="0056405B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56405B" w:rsidRDefault="0056405B" w:rsidP="0056405B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0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8"/>
        <w:gridCol w:w="1418"/>
        <w:gridCol w:w="2269"/>
      </w:tblGrid>
      <w:tr w:rsidR="0056405B" w:rsidTr="0056405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56405B" w:rsidTr="0056405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5B" w:rsidRDefault="005640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56405B" w:rsidTr="0056405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5B" w:rsidRDefault="005640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405B" w:rsidTr="0056405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5B" w:rsidRDefault="005640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56405B" w:rsidTr="0056405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5B" w:rsidRDefault="005640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56405B" w:rsidTr="0056405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5B" w:rsidRDefault="005640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5B" w:rsidRDefault="005640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B" w:rsidRDefault="0056405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56405B" w:rsidRDefault="0056405B" w:rsidP="0056405B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56405B" w:rsidRDefault="0056405B" w:rsidP="0056405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56405B" w:rsidRDefault="0056405B" w:rsidP="0056405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56405B" w:rsidRDefault="0056405B" w:rsidP="0056405B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56405B" w:rsidRDefault="0056405B" w:rsidP="005640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56405B" w:rsidRDefault="0056405B" w:rsidP="005640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56405B" w:rsidRDefault="0056405B" w:rsidP="005640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56405B" w:rsidRDefault="0056405B" w:rsidP="005640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56405B" w:rsidRDefault="0056405B" w:rsidP="0056405B">
      <w:pPr>
        <w:ind w:left="142"/>
        <w:rPr>
          <w:rFonts w:ascii="PT Serif" w:hAnsi="PT Serif"/>
          <w:sz w:val="24"/>
          <w:szCs w:val="24"/>
        </w:rPr>
      </w:pPr>
    </w:p>
    <w:p w:rsidR="0056405B" w:rsidRDefault="0056405B" w:rsidP="0056405B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56405B" w:rsidRDefault="0056405B" w:rsidP="0056405B">
      <w:pPr>
        <w:ind w:left="-993"/>
        <w:rPr>
          <w:rFonts w:ascii="PT Serif" w:hAnsi="PT Serif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115ACA" w:rsidRDefault="00115ACA"/>
    <w:p w:rsidR="007506E7" w:rsidRDefault="007506E7"/>
    <w:p w:rsidR="007506E7" w:rsidRDefault="007506E7" w:rsidP="007506E7">
      <w:pPr>
        <w:ind w:hanging="426"/>
        <w:jc w:val="right"/>
      </w:pPr>
      <w:r>
        <w:lastRenderedPageBreak/>
        <w:t>Приложение 1</w:t>
      </w:r>
    </w:p>
    <w:p w:rsidR="007506E7" w:rsidRDefault="007506E7" w:rsidP="007506E7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7506E7" w:rsidRDefault="007506E7" w:rsidP="007506E7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7506E7" w:rsidRDefault="007506E7" w:rsidP="007506E7">
      <w:pPr>
        <w:tabs>
          <w:tab w:val="left" w:pos="3930"/>
          <w:tab w:val="right" w:pos="9355"/>
        </w:tabs>
        <w:jc w:val="right"/>
      </w:pPr>
      <w:r>
        <w:t>от «02» июля 2019 г. № 0187300005819000128-1</w:t>
      </w:r>
    </w:p>
    <w:p w:rsidR="007506E7" w:rsidRDefault="007506E7" w:rsidP="007506E7">
      <w:pPr>
        <w:jc w:val="center"/>
      </w:pPr>
      <w:r>
        <w:t>Таблица рассмотрения единственной заявки</w:t>
      </w:r>
    </w:p>
    <w:p w:rsidR="007506E7" w:rsidRDefault="007506E7" w:rsidP="007506E7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на право заключения муниципального контракта </w:t>
      </w:r>
    </w:p>
    <w:p w:rsidR="007506E7" w:rsidRDefault="007506E7" w:rsidP="007506E7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помещений.</w:t>
      </w:r>
    </w:p>
    <w:p w:rsidR="007506E7" w:rsidRDefault="007506E7" w:rsidP="007506E7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4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1838"/>
      </w:tblGrid>
      <w:tr w:rsidR="007506E7" w:rsidTr="007506E7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</w:tr>
      <w:tr w:rsidR="007506E7" w:rsidTr="007506E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Чех Александр Юрьевич</w:t>
            </w:r>
          </w:p>
        </w:tc>
      </w:tr>
      <w:tr w:rsidR="007506E7" w:rsidTr="007506E7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Pr="007506E7" w:rsidRDefault="007506E7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7506E7">
              <w:rPr>
                <w:color w:val="000000"/>
                <w:sz w:val="12"/>
                <w:szCs w:val="12"/>
              </w:rPr>
              <w:t>1.</w:t>
            </w:r>
            <w:r w:rsidRPr="007506E7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7506E7">
              <w:rPr>
                <w:bCs/>
                <w:sz w:val="12"/>
                <w:szCs w:val="12"/>
              </w:rPr>
              <w:t>закупки -</w:t>
            </w:r>
            <w:r w:rsidRPr="007506E7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7506E7">
              <w:rPr>
                <w:bCs/>
                <w:sz w:val="12"/>
                <w:szCs w:val="12"/>
              </w:rPr>
              <w:t>закупки</w:t>
            </w:r>
            <w:r w:rsidRPr="007506E7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7506E7">
              <w:rPr>
                <w:bCs/>
                <w:sz w:val="12"/>
                <w:szCs w:val="12"/>
              </w:rPr>
              <w:t>несостоятельным (</w:t>
            </w:r>
            <w:r w:rsidRPr="007506E7">
              <w:rPr>
                <w:sz w:val="12"/>
                <w:szCs w:val="12"/>
              </w:rPr>
              <w:t>банкротом</w:t>
            </w:r>
            <w:r w:rsidRPr="007506E7">
              <w:rPr>
                <w:bCs/>
                <w:sz w:val="12"/>
                <w:szCs w:val="12"/>
              </w:rPr>
              <w:t>)</w:t>
            </w:r>
            <w:r w:rsidRPr="007506E7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506E7" w:rsidTr="007506E7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P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7506E7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506E7" w:rsidTr="007506E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P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7506E7">
              <w:rPr>
                <w:sz w:val="12"/>
                <w:szCs w:val="12"/>
              </w:rPr>
              <w:t xml:space="preserve">3. </w:t>
            </w:r>
            <w:proofErr w:type="gramStart"/>
            <w:r w:rsidRPr="007506E7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506E7">
              <w:rPr>
                <w:sz w:val="12"/>
                <w:szCs w:val="12"/>
              </w:rPr>
              <w:t xml:space="preserve"> </w:t>
            </w:r>
            <w:proofErr w:type="gramStart"/>
            <w:r w:rsidRPr="007506E7">
              <w:rPr>
                <w:sz w:val="12"/>
                <w:szCs w:val="12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506E7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506E7">
              <w:rPr>
                <w:sz w:val="12"/>
                <w:szCs w:val="12"/>
              </w:rPr>
              <w:t>указанных</w:t>
            </w:r>
            <w:proofErr w:type="gramEnd"/>
            <w:r w:rsidRPr="007506E7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506E7" w:rsidTr="007506E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P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7506E7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7506E7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506E7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7506E7" w:rsidRP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7506E7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506E7" w:rsidTr="007506E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P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7506E7">
              <w:rPr>
                <w:sz w:val="12"/>
                <w:szCs w:val="12"/>
              </w:rPr>
              <w:t xml:space="preserve">5. </w:t>
            </w:r>
            <w:proofErr w:type="gramStart"/>
            <w:r w:rsidRPr="007506E7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506E7">
              <w:rPr>
                <w:sz w:val="12"/>
                <w:szCs w:val="12"/>
              </w:rPr>
              <w:t xml:space="preserve"> </w:t>
            </w:r>
            <w:proofErr w:type="gramStart"/>
            <w:r w:rsidRPr="007506E7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506E7">
              <w:rPr>
                <w:sz w:val="12"/>
                <w:szCs w:val="12"/>
              </w:rPr>
              <w:t>неполнородными</w:t>
            </w:r>
            <w:proofErr w:type="spellEnd"/>
            <w:r w:rsidRPr="007506E7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506E7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506E7" w:rsidTr="007506E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P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7506E7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7506E7" w:rsidTr="007506E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7506E7" w:rsidTr="007506E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7506E7" w:rsidTr="007506E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Начальная (максимальная) цена контракта – 1 853 478,00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7" w:rsidRDefault="007506E7">
            <w:pPr>
              <w:widowControl/>
              <w:rPr>
                <w:rFonts w:ascii="Calibri" w:eastAsia="Calibri" w:hAnsi="Calibri"/>
              </w:rPr>
            </w:pP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7506E7" w:rsidRDefault="007506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Чех Александр Юрьевич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Квартира ,73, ул. Лесозаготовителей 9 Попова, д.93,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 xml:space="preserve">, Ханты-Мансийский автономный округ – Югра, Тюменская область, Россия </w:t>
            </w:r>
            <w:proofErr w:type="gramEnd"/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Требование к </w:t>
            </w:r>
            <w:proofErr w:type="spellStart"/>
            <w:r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эффективности дома не ниже "В" согласно Правилам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Жилое помещение </w:t>
            </w:r>
            <w:r>
              <w:rPr>
                <w:b/>
                <w:color w:val="000000"/>
                <w:sz w:val="16"/>
                <w:szCs w:val="16"/>
              </w:rPr>
              <w:t>должно быть</w:t>
            </w:r>
            <w:r>
              <w:rPr>
                <w:color w:val="000000"/>
                <w:sz w:val="16"/>
                <w:szCs w:val="16"/>
              </w:rPr>
              <w:t xml:space="preserve"> благоустроенное,</w:t>
            </w:r>
            <w:r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выключателями и </w:t>
            </w:r>
            <w:r>
              <w:rPr>
                <w:sz w:val="16"/>
                <w:szCs w:val="16"/>
              </w:rPr>
              <w:t>с опломбированным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>
              <w:rPr>
                <w:sz w:val="16"/>
                <w:szCs w:val="16"/>
              </w:rPr>
              <w:t>и паспортом с незаконченным сроком эксплуатации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центральным отоплением </w:t>
            </w:r>
            <w:r>
              <w:rPr>
                <w:b/>
                <w:color w:val="000000"/>
                <w:sz w:val="16"/>
                <w:szCs w:val="16"/>
              </w:rPr>
              <w:t>или</w:t>
            </w:r>
            <w:r>
              <w:rPr>
                <w:color w:val="000000"/>
                <w:sz w:val="16"/>
                <w:szCs w:val="16"/>
              </w:rPr>
              <w:t xml:space="preserve"> общедомовым;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</w:t>
            </w:r>
            <w:r>
              <w:rPr>
                <w:b/>
                <w:color w:val="000000"/>
                <w:sz w:val="16"/>
                <w:szCs w:val="16"/>
              </w:rPr>
              <w:t>или</w:t>
            </w:r>
            <w:r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>
              <w:rPr>
                <w:b/>
                <w:color w:val="000000"/>
                <w:sz w:val="16"/>
                <w:szCs w:val="16"/>
              </w:rPr>
              <w:t>не менее</w:t>
            </w:r>
            <w:r>
              <w:rPr>
                <w:color w:val="000000"/>
                <w:sz w:val="16"/>
                <w:szCs w:val="16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настилом полов (плитка, ламинат, линолеум) без механических повреждений.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в течение 36</w:t>
            </w:r>
            <w:r>
              <w:rPr>
                <w:sz w:val="16"/>
                <w:szCs w:val="16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7506E7" w:rsidTr="007506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площадь  жилого помещения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7" w:rsidRDefault="007506E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 кв. метра (за исключением балконов, лоджий)</w:t>
            </w:r>
          </w:p>
        </w:tc>
      </w:tr>
    </w:tbl>
    <w:p w:rsidR="007506E7" w:rsidRDefault="007506E7"/>
    <w:sectPr w:rsidR="007506E7" w:rsidSect="0056405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F"/>
    <w:rsid w:val="00115ACA"/>
    <w:rsid w:val="0056405B"/>
    <w:rsid w:val="00635E94"/>
    <w:rsid w:val="007506E7"/>
    <w:rsid w:val="00823F29"/>
    <w:rsid w:val="00884B0F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05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640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6405B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7506E7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7506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0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05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640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6405B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7506E7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7506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0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2019-07-01T13:26:00Z</cp:lastPrinted>
  <dcterms:created xsi:type="dcterms:W3CDTF">2019-07-01T09:58:00Z</dcterms:created>
  <dcterms:modified xsi:type="dcterms:W3CDTF">2019-07-01T13:28:00Z</dcterms:modified>
</cp:coreProperties>
</file>