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30" w:rsidRPr="00865C55" w:rsidRDefault="00E91A30" w:rsidP="00E91A30">
      <w:pPr>
        <w:ind w:right="-2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<v:textbox>
              <w:txbxContent>
                <w:p w:rsidR="00E91A30" w:rsidRPr="003C5141" w:rsidRDefault="00E91A30" w:rsidP="00E91A3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F8B3700" wp14:editId="5AC9C3A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30" w:rsidRPr="00865C55" w:rsidRDefault="00E91A30" w:rsidP="00E91A30">
      <w:pPr>
        <w:ind w:right="-2"/>
        <w:jc w:val="center"/>
        <w:rPr>
          <w:rFonts w:ascii="PT Astra Serif" w:eastAsia="Calibri" w:hAnsi="PT Astra Serif"/>
        </w:rPr>
      </w:pPr>
    </w:p>
    <w:p w:rsidR="00E91A30" w:rsidRPr="00865C55" w:rsidRDefault="00E91A30" w:rsidP="00E91A3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91A30" w:rsidRPr="00865C55" w:rsidRDefault="00E91A30" w:rsidP="00E91A3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91A30" w:rsidRPr="00865C55" w:rsidRDefault="00E91A30" w:rsidP="00E91A3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91A30" w:rsidRPr="00865C55" w:rsidRDefault="00E91A30" w:rsidP="00E91A3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91A30" w:rsidRPr="00865C55" w:rsidRDefault="00E91A30" w:rsidP="00E91A30">
      <w:pPr>
        <w:ind w:right="-2"/>
        <w:rPr>
          <w:rFonts w:ascii="PT Astra Serif" w:eastAsia="Calibri" w:hAnsi="PT Astra Serif"/>
          <w:sz w:val="28"/>
        </w:rPr>
      </w:pPr>
    </w:p>
    <w:p w:rsidR="00E91A30" w:rsidRPr="00865C55" w:rsidRDefault="00E91A30" w:rsidP="00E91A30">
      <w:pPr>
        <w:ind w:right="-2"/>
        <w:rPr>
          <w:rFonts w:ascii="PT Astra Serif" w:eastAsia="Calibri" w:hAnsi="PT Astra Serif"/>
          <w:sz w:val="28"/>
          <w:szCs w:val="16"/>
        </w:rPr>
      </w:pPr>
    </w:p>
    <w:p w:rsidR="00E91A30" w:rsidRPr="004846DC" w:rsidRDefault="00E91A30" w:rsidP="00E91A30">
      <w:pPr>
        <w:ind w:right="-2"/>
        <w:jc w:val="both"/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56343C">
        <w:rPr>
          <w:rFonts w:ascii="PT Astra Serif" w:hAnsi="PT Astra Serif"/>
          <w:sz w:val="28"/>
          <w:szCs w:val="26"/>
        </w:rPr>
        <w:t>14 ноября 2022 года</w:t>
      </w:r>
      <w:r w:rsidRPr="004846DC">
        <w:rPr>
          <w:rFonts w:ascii="PT Astra Serif" w:hAnsi="PT Astra Serif"/>
          <w:sz w:val="28"/>
          <w:szCs w:val="26"/>
        </w:rPr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            </w:t>
      </w:r>
      <w:r w:rsidRPr="004846DC">
        <w:rPr>
          <w:rFonts w:ascii="PT Astra Serif" w:hAnsi="PT Astra Serif"/>
          <w:sz w:val="28"/>
          <w:szCs w:val="26"/>
        </w:rPr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</w:t>
      </w:r>
      <w:r w:rsidR="0056343C">
        <w:rPr>
          <w:rFonts w:ascii="PT Astra Serif" w:hAnsi="PT Astra Serif"/>
          <w:sz w:val="28"/>
          <w:szCs w:val="26"/>
        </w:rPr>
        <w:t xml:space="preserve">        </w:t>
      </w:r>
      <w:r>
        <w:rPr>
          <w:rFonts w:ascii="PT Astra Serif" w:hAnsi="PT Astra Serif"/>
          <w:sz w:val="28"/>
          <w:szCs w:val="26"/>
        </w:rPr>
        <w:t xml:space="preserve">          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56343C">
        <w:rPr>
          <w:rFonts w:ascii="PT Astra Serif" w:hAnsi="PT Astra Serif"/>
          <w:sz w:val="28"/>
          <w:szCs w:val="26"/>
        </w:rPr>
        <w:t>2394-п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DB3927" w:rsidRPr="00DB3927">
        <w:rPr>
          <w:rFonts w:ascii="PT Astra Serif" w:hAnsi="PT Astra Serif"/>
          <w:sz w:val="28"/>
          <w:szCs w:val="28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A45938" w:rsidRPr="00A45938">
        <w:rPr>
          <w:rFonts w:ascii="PT Astra Serif" w:hAnsi="PT Astra Serif"/>
          <w:sz w:val="28"/>
          <w:szCs w:val="28"/>
        </w:rPr>
        <w:t>от 24.09.2021 № 1789-п, от 15.11.2021 № 2161-п, от 20.12.2021 № 2429-п, от 03.03.2022 № 378-п</w:t>
      </w:r>
      <w:proofErr w:type="gramEnd"/>
      <w:r w:rsidRPr="005D1CDB">
        <w:rPr>
          <w:rFonts w:ascii="PT Astra Serif" w:hAnsi="PT Astra Serif"/>
          <w:sz w:val="28"/>
          <w:szCs w:val="28"/>
        </w:rPr>
        <w:t>) следующие изменения: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91A30" w:rsidRPr="005D1CDB" w:rsidRDefault="00E91A30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B5705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F9719B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F9719B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79EE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C04E40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711879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B04562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– 5</w:t>
            </w:r>
            <w:r w:rsidR="006F36C6"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F36C6"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6F36C6"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6C6"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00,0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F9719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F9719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00,0 тыс. рублей;</w:t>
            </w:r>
          </w:p>
          <w:p w:rsidR="009A1570" w:rsidRPr="005D1CDB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</w:t>
            </w:r>
            <w:r w:rsidR="00B5705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71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F8197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proofErr w:type="spellStart"/>
      <w:r w:rsidR="00F81970">
        <w:rPr>
          <w:rFonts w:ascii="PT Astra Serif" w:hAnsi="PT Astra Serif"/>
          <w:sz w:val="28"/>
          <w:szCs w:val="28"/>
        </w:rPr>
        <w:t>С.Д.</w:t>
      </w:r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AD5685">
        <w:rPr>
          <w:rFonts w:ascii="PT Astra Serif" w:hAnsi="PT Astra Serif"/>
          <w:b/>
          <w:sz w:val="28"/>
          <w:szCs w:val="28"/>
        </w:rPr>
        <w:t xml:space="preserve">     </w:t>
      </w:r>
      <w:r w:rsidRPr="005D1CDB">
        <w:rPr>
          <w:rFonts w:ascii="PT Astra Serif" w:hAnsi="PT Astra Serif"/>
          <w:b/>
          <w:sz w:val="28"/>
          <w:szCs w:val="28"/>
        </w:rPr>
        <w:t xml:space="preserve">                         А. </w:t>
      </w:r>
      <w:r w:rsidR="00AD5685">
        <w:rPr>
          <w:rFonts w:ascii="PT Astra Serif" w:hAnsi="PT Astra Serif"/>
          <w:b/>
          <w:sz w:val="28"/>
          <w:szCs w:val="28"/>
        </w:rPr>
        <w:t>Ю</w:t>
      </w:r>
      <w:r w:rsidRPr="005D1CDB">
        <w:rPr>
          <w:rFonts w:ascii="PT Astra Serif" w:hAnsi="PT Astra Serif"/>
          <w:b/>
          <w:sz w:val="28"/>
          <w:szCs w:val="28"/>
        </w:rPr>
        <w:t xml:space="preserve">. </w:t>
      </w:r>
      <w:r w:rsidR="00AD5685">
        <w:rPr>
          <w:rFonts w:ascii="PT Astra Serif" w:hAnsi="PT Astra Serif"/>
          <w:b/>
          <w:sz w:val="28"/>
          <w:szCs w:val="28"/>
        </w:rPr>
        <w:t>Харлов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от </w:t>
      </w:r>
      <w:r w:rsidR="0056343C" w:rsidRPr="0056343C">
        <w:rPr>
          <w:rFonts w:ascii="PT Astra Serif" w:hAnsi="PT Astra Serif"/>
          <w:b/>
          <w:sz w:val="28"/>
          <w:szCs w:val="26"/>
        </w:rPr>
        <w:t>14 ноября 2022 года</w:t>
      </w:r>
      <w:r w:rsidRPr="00C62707">
        <w:rPr>
          <w:rFonts w:ascii="PT Astra Serif" w:hAnsi="PT Astra Serif"/>
          <w:b/>
          <w:sz w:val="28"/>
          <w:szCs w:val="28"/>
        </w:rPr>
        <w:t xml:space="preserve"> №</w:t>
      </w:r>
      <w:r w:rsidR="0056343C">
        <w:rPr>
          <w:rFonts w:ascii="PT Astra Serif" w:hAnsi="PT Astra Serif"/>
          <w:b/>
          <w:sz w:val="28"/>
          <w:szCs w:val="28"/>
        </w:rPr>
        <w:t xml:space="preserve"> 2394-п</w:t>
      </w:r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0E17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0E17A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F289E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E17A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313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0E17A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692171" w:rsidP="006921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248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692171" w:rsidP="006921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6 14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692171" w:rsidP="006921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151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52002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D52002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0E17A0" w:rsidP="001F28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143 313,4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CF6849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B5705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DB3169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 8</w:t>
            </w:r>
            <w:r w:rsidR="00B5705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  <w:r w:rsidR="00DB3169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B5705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20192" w:rsidP="0069217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92171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248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92171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692171" w:rsidP="0069217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692171" w:rsidP="0069217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151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7101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</w:t>
            </w:r>
            <w:r w:rsidR="00710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0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0F485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8,</w:t>
            </w:r>
            <w:r w:rsidR="000F485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7101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710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0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5 339,7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71187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711879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1879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</w:t>
            </w:r>
            <w:r w:rsidR="00711879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4676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20192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46766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20192" w:rsidP="00F4676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46766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DC370D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0F4853" w:rsidP="007101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  <w:r w:rsidR="0071019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71019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B57054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7118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F829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7118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9A5AF5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DC370D" w:rsidRPr="0043675B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C370D" w:rsidRPr="00DC370D" w:rsidRDefault="00DC370D" w:rsidP="00DC370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DC370D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DC370D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DC370D" w:rsidRDefault="00DC370D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DC370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C370D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DC370D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C370D" w:rsidRPr="0043675B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2D6CEA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C370D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0F4853" w:rsidP="000F48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BC08BA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31548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5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210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6116D3" w:rsidP="006116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85 439,1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86352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149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86352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92171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3520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</w:t>
            </w:r>
            <w:r w:rsidR="00692171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92171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0F4853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711 441,6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31548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B5705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BC08BA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B5705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210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6116D3" w:rsidP="006116D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 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863520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863520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9,</w:t>
            </w:r>
            <w:r w:rsidR="00863520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92171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863520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692171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92171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829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087,9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711879" w:rsidP="0071187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D2019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</w:t>
            </w:r>
            <w:r w:rsidR="00D20192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20192" w:rsidP="00D2019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8290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F8290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087</w:t>
            </w:r>
            <w:r w:rsidR="003473C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8290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711879" w:rsidP="007118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D2019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20192" w:rsidP="00D2019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863520" w:rsidP="0086352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63520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863520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6352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86352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1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8290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5,</w:t>
            </w:r>
            <w:r w:rsidR="00863520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711879" w:rsidP="0071187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20192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863520" w:rsidP="0086352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20192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F8290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63520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8290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863520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711879" w:rsidP="007118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D2019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863520" w:rsidP="0086352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20192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8,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CC5818" w:rsidP="000F48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0F485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  <w:r w:rsidR="007C2DB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0F485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31548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0F485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31548" w:rsidP="00FB67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7C2DB3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273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20192" w:rsidP="00D20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D2019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20192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0192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D2019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20192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0192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CC5818" w:rsidP="000F4853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0F4853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  <w:r w:rsidR="007C2DB3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0F4853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="00D31548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0F4853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3675B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31548" w:rsidP="00FB67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7C2DB3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273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20192" w:rsidP="00D20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43675B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5 </w:t>
            </w: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00,</w:t>
            </w: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D2019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20192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20192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D20192" w:rsidP="00D2019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  <w:r w:rsidR="0043675B"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271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DC370D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8F7305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8F7305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2D6CEA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6C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0F4853" w:rsidP="00CC581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712 587,1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31548" w:rsidP="00FB67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273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E97B94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7B94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0F4853" w:rsidP="00CC581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712 587,1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D31548" w:rsidP="00FB67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273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E97B94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 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00,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E97B94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  <w:r w:rsidR="0043675B"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863520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E75C50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75C5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E75C50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75C5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E75C50" w:rsidRDefault="00E75C50" w:rsidP="00B5705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75C5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0F4853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712 587,1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FB67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273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0F4853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712 587,1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FB67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273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863520" w:rsidRDefault="00E75C50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863520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271</w:t>
            </w:r>
            <w:r w:rsidR="00E75C50"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E75C50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75C50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75C50" w:rsidRPr="0043675B" w:rsidRDefault="00E75C50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2D6CEA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75C50" w:rsidRPr="0043675B" w:rsidRDefault="00E75C50" w:rsidP="00B570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1499A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E1499A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E1499A" w:rsidRPr="0043675B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1499A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1499A" w:rsidRPr="0043675B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1499A" w:rsidRPr="0043675B" w:rsidRDefault="00E1499A" w:rsidP="00DC37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2D6CEA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43675B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1499A" w:rsidRPr="0043675B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1499A" w:rsidRPr="0043675B" w:rsidRDefault="00E1499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8B71CB" w:rsidP="00F971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8B71CB" w:rsidP="00FB67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9 933,6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E97B94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31</w:t>
            </w:r>
            <w:r w:rsidR="0043675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 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E97B94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52002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3675B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D52002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8B71CB" w:rsidP="00F971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9719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9719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001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9719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8B71CB" w:rsidP="00FB67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933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E97B94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43675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 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E97B94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D52002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3675B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D52002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9719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CC5818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528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9719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B672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B672B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5 339,7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E97B9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E75C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F9719B" w:rsidP="00CC581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567 528,2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B672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339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E97B9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F467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9A5AF5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9A5A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D520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E75C5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966DC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966DCF" w:rsidP="00966DC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2D6CEA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6CE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966DCF" w:rsidP="00966DC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06309E" w:rsidP="000630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E75C50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30" w:rsidRDefault="00E91A30" w:rsidP="0043675B">
      <w:r>
        <w:separator/>
      </w:r>
    </w:p>
  </w:endnote>
  <w:endnote w:type="continuationSeparator" w:id="0">
    <w:p w:rsidR="00E91A30" w:rsidRDefault="00E91A30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0" w:rsidRDefault="00E91A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0" w:rsidRDefault="00E91A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0" w:rsidRDefault="00E91A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30" w:rsidRDefault="00E91A30" w:rsidP="0043675B">
      <w:r>
        <w:separator/>
      </w:r>
    </w:p>
  </w:footnote>
  <w:footnote w:type="continuationSeparator" w:id="0">
    <w:p w:rsidR="00E91A30" w:rsidRDefault="00E91A30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0" w:rsidRDefault="00E91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Content>
      <w:p w:rsidR="00E91A30" w:rsidRDefault="00E9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A30" w:rsidRDefault="00E91A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Content>
      <w:p w:rsidR="00E91A30" w:rsidRDefault="00E91A30">
        <w:pPr>
          <w:pStyle w:val="a8"/>
          <w:jc w:val="center"/>
        </w:pPr>
      </w:p>
    </w:sdtContent>
  </w:sdt>
  <w:p w:rsidR="00E91A30" w:rsidRDefault="00E91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4853"/>
    <w:rsid w:val="001563DE"/>
    <w:rsid w:val="001A091F"/>
    <w:rsid w:val="001D5E29"/>
    <w:rsid w:val="001F289E"/>
    <w:rsid w:val="0026301C"/>
    <w:rsid w:val="00294669"/>
    <w:rsid w:val="002B09E5"/>
    <w:rsid w:val="002C7F29"/>
    <w:rsid w:val="002D1C7F"/>
    <w:rsid w:val="002D6CEA"/>
    <w:rsid w:val="002F4323"/>
    <w:rsid w:val="003473C3"/>
    <w:rsid w:val="00367F44"/>
    <w:rsid w:val="00373DBD"/>
    <w:rsid w:val="003B10C2"/>
    <w:rsid w:val="003D4761"/>
    <w:rsid w:val="004079EE"/>
    <w:rsid w:val="00412400"/>
    <w:rsid w:val="004134A6"/>
    <w:rsid w:val="004143EC"/>
    <w:rsid w:val="00424D4A"/>
    <w:rsid w:val="00431DEB"/>
    <w:rsid w:val="0043320E"/>
    <w:rsid w:val="0043675B"/>
    <w:rsid w:val="0044021D"/>
    <w:rsid w:val="00451731"/>
    <w:rsid w:val="00465855"/>
    <w:rsid w:val="00477E04"/>
    <w:rsid w:val="004C197F"/>
    <w:rsid w:val="004E5AF0"/>
    <w:rsid w:val="00501260"/>
    <w:rsid w:val="00510A93"/>
    <w:rsid w:val="005227ED"/>
    <w:rsid w:val="00522A34"/>
    <w:rsid w:val="00543690"/>
    <w:rsid w:val="0056343C"/>
    <w:rsid w:val="00564FB2"/>
    <w:rsid w:val="00580444"/>
    <w:rsid w:val="005B2C9F"/>
    <w:rsid w:val="005D1CDB"/>
    <w:rsid w:val="005E585B"/>
    <w:rsid w:val="005E6B09"/>
    <w:rsid w:val="006116D3"/>
    <w:rsid w:val="00626FEB"/>
    <w:rsid w:val="006346D0"/>
    <w:rsid w:val="0065143E"/>
    <w:rsid w:val="0066339F"/>
    <w:rsid w:val="006750C3"/>
    <w:rsid w:val="00692171"/>
    <w:rsid w:val="006C1A6B"/>
    <w:rsid w:val="006F36C6"/>
    <w:rsid w:val="0071019B"/>
    <w:rsid w:val="00711879"/>
    <w:rsid w:val="007320AD"/>
    <w:rsid w:val="00755619"/>
    <w:rsid w:val="007B2B7F"/>
    <w:rsid w:val="007C17F1"/>
    <w:rsid w:val="007C25AB"/>
    <w:rsid w:val="007C2DB3"/>
    <w:rsid w:val="007F69C1"/>
    <w:rsid w:val="00825D69"/>
    <w:rsid w:val="008426AC"/>
    <w:rsid w:val="00855773"/>
    <w:rsid w:val="00863520"/>
    <w:rsid w:val="008803F8"/>
    <w:rsid w:val="008807C5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66DCF"/>
    <w:rsid w:val="009951D7"/>
    <w:rsid w:val="009A1570"/>
    <w:rsid w:val="009A5AF5"/>
    <w:rsid w:val="009D7AD4"/>
    <w:rsid w:val="00A41F75"/>
    <w:rsid w:val="00A45938"/>
    <w:rsid w:val="00AB05D2"/>
    <w:rsid w:val="00AD5685"/>
    <w:rsid w:val="00AE25E7"/>
    <w:rsid w:val="00B04562"/>
    <w:rsid w:val="00B228C5"/>
    <w:rsid w:val="00B26304"/>
    <w:rsid w:val="00B57054"/>
    <w:rsid w:val="00B934D8"/>
    <w:rsid w:val="00BB3F21"/>
    <w:rsid w:val="00BC08BA"/>
    <w:rsid w:val="00BE0B54"/>
    <w:rsid w:val="00C00326"/>
    <w:rsid w:val="00C04E40"/>
    <w:rsid w:val="00C20E9C"/>
    <w:rsid w:val="00C23B94"/>
    <w:rsid w:val="00C62707"/>
    <w:rsid w:val="00C91C6C"/>
    <w:rsid w:val="00CB11EF"/>
    <w:rsid w:val="00CB4952"/>
    <w:rsid w:val="00CC5818"/>
    <w:rsid w:val="00CF6849"/>
    <w:rsid w:val="00D04D69"/>
    <w:rsid w:val="00D132E8"/>
    <w:rsid w:val="00D20192"/>
    <w:rsid w:val="00D239E4"/>
    <w:rsid w:val="00D31548"/>
    <w:rsid w:val="00D42ABC"/>
    <w:rsid w:val="00D45FDD"/>
    <w:rsid w:val="00D52002"/>
    <w:rsid w:val="00DB3169"/>
    <w:rsid w:val="00DB3927"/>
    <w:rsid w:val="00DC370D"/>
    <w:rsid w:val="00DE3DA2"/>
    <w:rsid w:val="00E018E8"/>
    <w:rsid w:val="00E1499A"/>
    <w:rsid w:val="00E20283"/>
    <w:rsid w:val="00E36BE5"/>
    <w:rsid w:val="00E75C50"/>
    <w:rsid w:val="00E91A30"/>
    <w:rsid w:val="00E97B94"/>
    <w:rsid w:val="00EA7FE8"/>
    <w:rsid w:val="00EB6A83"/>
    <w:rsid w:val="00ED6B74"/>
    <w:rsid w:val="00EF02AC"/>
    <w:rsid w:val="00F0461C"/>
    <w:rsid w:val="00F316AB"/>
    <w:rsid w:val="00F46766"/>
    <w:rsid w:val="00F65A50"/>
    <w:rsid w:val="00F81970"/>
    <w:rsid w:val="00F82903"/>
    <w:rsid w:val="00F9719B"/>
    <w:rsid w:val="00FB141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8188-DDA8-4C82-840F-4622710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42</cp:revision>
  <cp:lastPrinted>2022-11-14T12:29:00Z</cp:lastPrinted>
  <dcterms:created xsi:type="dcterms:W3CDTF">2021-04-26T04:19:00Z</dcterms:created>
  <dcterms:modified xsi:type="dcterms:W3CDTF">2022-11-14T12:41:00Z</dcterms:modified>
</cp:coreProperties>
</file>